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84"/>
        <w:gridCol w:w="8930"/>
      </w:tblGrid>
      <w:tr w:rsidR="00B67A25" w:rsidRPr="00B67A25" w14:paraId="0DF0CCDC" w14:textId="77777777" w:rsidTr="00B67A25">
        <w:trPr>
          <w:trHeight w:val="820"/>
        </w:trPr>
        <w:tc>
          <w:tcPr>
            <w:tcW w:w="284" w:type="dxa"/>
            <w:shd w:val="clear" w:color="auto" w:fill="auto"/>
          </w:tcPr>
          <w:p w14:paraId="1D68F795" w14:textId="75A14A74" w:rsidR="00B67A25" w:rsidRPr="00B67A25" w:rsidRDefault="00B67A25" w:rsidP="00E52C4D">
            <w:pPr>
              <w:pStyle w:val="Sansinterligne"/>
              <w:jc w:val="center"/>
              <w:rPr>
                <w:b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  <w:shd w:val="clear" w:color="auto" w:fill="auto"/>
          </w:tcPr>
          <w:p w14:paraId="5EEEC7EC" w14:textId="77777777" w:rsidR="00B67A25" w:rsidRDefault="00B67A25" w:rsidP="00E52C4D">
            <w:pPr>
              <w:pStyle w:val="Sansinterligne"/>
              <w:rPr>
                <w:rFonts w:ascii="Bookman Old Style" w:eastAsia="Times New Roman" w:hAnsi="Bookman Old Style"/>
                <w:b/>
                <w:color w:val="000000"/>
                <w:sz w:val="28"/>
                <w:szCs w:val="24"/>
              </w:rPr>
            </w:pPr>
          </w:p>
          <w:p w14:paraId="646105BC" w14:textId="47B242D8" w:rsidR="00E52C4D" w:rsidRDefault="00E52C4D" w:rsidP="00E52C4D">
            <w:pPr>
              <w:pStyle w:val="Sansinterligne"/>
              <w:rPr>
                <w:rFonts w:ascii="Bookman Old Style" w:eastAsia="Times New Roman" w:hAnsi="Bookman Old Style"/>
                <w:color w:val="000000"/>
                <w:sz w:val="48"/>
                <w:szCs w:val="24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CBB384E" wp14:editId="556BC806">
                  <wp:extent cx="1638300" cy="647700"/>
                  <wp:effectExtent l="0" t="0" r="12700" b="0"/>
                  <wp:docPr id="1" name="Image 1" descr="logo_CNRA_300x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_CNRA_300x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25E778" w14:textId="77777777" w:rsidR="00E52C4D" w:rsidRDefault="00E52C4D" w:rsidP="00E52C4D">
            <w:pPr>
              <w:pStyle w:val="Sansinterligne"/>
              <w:rPr>
                <w:rFonts w:ascii="Bookman Old Style" w:eastAsia="Times New Roman" w:hAnsi="Bookman Old Style"/>
                <w:color w:val="000000"/>
                <w:sz w:val="48"/>
                <w:szCs w:val="24"/>
              </w:rPr>
            </w:pPr>
          </w:p>
          <w:p w14:paraId="09789CCD" w14:textId="0BB9B349" w:rsidR="00B67A25" w:rsidRPr="00B67A25" w:rsidRDefault="00371DB6" w:rsidP="00E52C4D">
            <w:pPr>
              <w:pStyle w:val="Sansinterligne"/>
              <w:ind w:left="-656" w:firstLine="656"/>
              <w:rPr>
                <w:rFonts w:ascii="Bookman Old Style" w:eastAsia="Times New Roman" w:hAnsi="Bookman Old Style"/>
                <w:color w:val="000000"/>
                <w:sz w:val="48"/>
                <w:szCs w:val="24"/>
              </w:rPr>
            </w:pPr>
            <w:r>
              <w:rPr>
                <w:rFonts w:ascii="Bookman Old Style" w:eastAsia="Times New Roman" w:hAnsi="Bookman Old Style"/>
                <w:color w:val="000000"/>
                <w:sz w:val="48"/>
                <w:szCs w:val="24"/>
              </w:rPr>
              <w:t xml:space="preserve">     </w:t>
            </w:r>
            <w:r w:rsidR="00B67A25" w:rsidRPr="00B67A25">
              <w:rPr>
                <w:rFonts w:ascii="Bookman Old Style" w:eastAsia="Times New Roman" w:hAnsi="Bookman Old Style"/>
                <w:color w:val="000000"/>
                <w:sz w:val="48"/>
                <w:szCs w:val="24"/>
              </w:rPr>
              <w:t>Communiqué</w:t>
            </w:r>
            <w:r w:rsidR="00E52C4D">
              <w:rPr>
                <w:rFonts w:ascii="Bookman Old Style" w:eastAsia="Times New Roman" w:hAnsi="Bookman Old Style"/>
                <w:color w:val="000000"/>
                <w:sz w:val="48"/>
                <w:szCs w:val="24"/>
              </w:rPr>
              <w:t xml:space="preserve"> de PRESSE</w:t>
            </w:r>
          </w:p>
          <w:p w14:paraId="732425CF" w14:textId="77777777" w:rsidR="00B67A25" w:rsidRDefault="00B67A25" w:rsidP="00E52C4D">
            <w:pPr>
              <w:pStyle w:val="Sansinterligne"/>
              <w:rPr>
                <w:rFonts w:ascii="Bookman Old Style" w:eastAsia="Times New Roman" w:hAnsi="Bookman Old Style"/>
                <w:color w:val="000000"/>
                <w:sz w:val="40"/>
                <w:szCs w:val="24"/>
              </w:rPr>
            </w:pPr>
          </w:p>
          <w:p w14:paraId="4CCB5F06" w14:textId="77777777" w:rsidR="00B67A25" w:rsidRPr="00B67A25" w:rsidRDefault="00B67A25" w:rsidP="00E52C4D">
            <w:pPr>
              <w:pStyle w:val="Sansinterligne"/>
              <w:rPr>
                <w:rFonts w:ascii="Bookman Old Style" w:eastAsia="Times New Roman" w:hAnsi="Bookman Old Style"/>
                <w:color w:val="000000"/>
                <w:sz w:val="40"/>
                <w:szCs w:val="24"/>
              </w:rPr>
            </w:pPr>
            <w:r w:rsidRPr="00B67A25">
              <w:rPr>
                <w:rFonts w:ascii="Bookman Old Style" w:eastAsia="Times New Roman" w:hAnsi="Bookman Old Style"/>
                <w:color w:val="000000"/>
                <w:sz w:val="40"/>
                <w:szCs w:val="24"/>
              </w:rPr>
              <w:t>Interdiction de la Publicité des produits cosmétiques de dépigmentation.</w:t>
            </w:r>
          </w:p>
          <w:p w14:paraId="31094784" w14:textId="77777777" w:rsidR="00B67A25" w:rsidRPr="00B67A25" w:rsidRDefault="00B67A25" w:rsidP="00E52C4D">
            <w:pPr>
              <w:pStyle w:val="Sansinterligne"/>
              <w:rPr>
                <w:rFonts w:ascii="Bookman Old Style" w:eastAsia="Times New Roman" w:hAnsi="Bookman Old Style"/>
                <w:b/>
                <w:color w:val="000000"/>
                <w:sz w:val="32"/>
                <w:szCs w:val="24"/>
              </w:rPr>
            </w:pPr>
            <w:r w:rsidRPr="00B67A25">
              <w:rPr>
                <w:rFonts w:ascii="Bookman Old Style" w:eastAsia="Times New Roman" w:hAnsi="Bookman Old Style"/>
                <w:b/>
                <w:color w:val="000000"/>
                <w:sz w:val="32"/>
                <w:szCs w:val="24"/>
              </w:rPr>
              <w:t xml:space="preserve"> </w:t>
            </w:r>
          </w:p>
          <w:p w14:paraId="4C0960BA" w14:textId="77777777" w:rsidR="00B67A25" w:rsidRPr="00B67A25" w:rsidRDefault="00B67A25" w:rsidP="00E52C4D">
            <w:pPr>
              <w:pStyle w:val="Sansinterligne"/>
              <w:rPr>
                <w:rFonts w:ascii="Bookman Old Style" w:eastAsia="Times New Roman" w:hAnsi="Bookman Old Style"/>
                <w:b/>
                <w:color w:val="000000"/>
                <w:sz w:val="48"/>
                <w:szCs w:val="24"/>
              </w:rPr>
            </w:pPr>
            <w:r w:rsidRPr="00B67A25">
              <w:rPr>
                <w:rFonts w:ascii="Bookman Old Style" w:eastAsia="Times New Roman" w:hAnsi="Bookman Old Style"/>
                <w:b/>
                <w:color w:val="000000"/>
                <w:sz w:val="48"/>
                <w:szCs w:val="24"/>
              </w:rPr>
              <w:t>LE CNRA sanctionne la SENTV</w:t>
            </w:r>
          </w:p>
          <w:p w14:paraId="1ED0AE3E" w14:textId="77777777" w:rsidR="00B67A25" w:rsidRDefault="00B67A25" w:rsidP="00E52C4D">
            <w:pPr>
              <w:pStyle w:val="Sansinterligne"/>
              <w:rPr>
                <w:rFonts w:ascii="Bookman Old Style" w:eastAsia="Times New Roman" w:hAnsi="Bookman Old Style"/>
                <w:b/>
                <w:color w:val="000000"/>
                <w:sz w:val="28"/>
                <w:szCs w:val="24"/>
              </w:rPr>
            </w:pPr>
          </w:p>
          <w:p w14:paraId="46B93EDD" w14:textId="77777777" w:rsidR="00B67A25" w:rsidRDefault="00B67A25" w:rsidP="00E52C4D">
            <w:pPr>
              <w:pStyle w:val="Sansinterligne"/>
              <w:rPr>
                <w:rFonts w:ascii="Bookman Old Style" w:eastAsia="Times New Roman" w:hAnsi="Bookman Old Style"/>
                <w:b/>
                <w:color w:val="000000"/>
                <w:sz w:val="36"/>
                <w:szCs w:val="24"/>
              </w:rPr>
            </w:pPr>
            <w:r w:rsidRPr="00B67A25">
              <w:rPr>
                <w:rFonts w:ascii="Bookman Old Style" w:eastAsia="Times New Roman" w:hAnsi="Bookman Old Style"/>
                <w:b/>
                <w:color w:val="000000"/>
                <w:sz w:val="28"/>
                <w:szCs w:val="24"/>
              </w:rPr>
              <w:t>« </w:t>
            </w:r>
            <w:r w:rsidRPr="00B67A25">
              <w:rPr>
                <w:rFonts w:ascii="Bookman Old Style" w:eastAsia="Times New Roman" w:hAnsi="Bookman Old Style"/>
                <w:b/>
                <w:color w:val="000000"/>
                <w:sz w:val="36"/>
                <w:szCs w:val="24"/>
              </w:rPr>
              <w:t>La diffusion des programmes de la SEN TV est suspendue pour sept (07) jours, durant la période allant du mardi 31 décembre 2019 à minuit au mardi 7 janvier 2020 à minuit »</w:t>
            </w:r>
            <w:r>
              <w:rPr>
                <w:rFonts w:ascii="Bookman Old Style" w:eastAsia="Times New Roman" w:hAnsi="Bookman Old Style"/>
                <w:b/>
                <w:color w:val="000000"/>
                <w:sz w:val="36"/>
                <w:szCs w:val="24"/>
              </w:rPr>
              <w:t>.</w:t>
            </w:r>
          </w:p>
          <w:p w14:paraId="4BAD82EB" w14:textId="77777777" w:rsidR="00B67A25" w:rsidRPr="00B67A25" w:rsidRDefault="00B67A25" w:rsidP="00E52C4D">
            <w:pPr>
              <w:pStyle w:val="Sansinterligne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 w:rsidRPr="00B67A25">
              <w:rPr>
                <w:rFonts w:ascii="Times New Roman" w:hAnsi="Times New Roman"/>
                <w:b/>
                <w:sz w:val="36"/>
                <w:szCs w:val="24"/>
                <w:lang w:eastAsia="en-US"/>
              </w:rPr>
              <w:t xml:space="preserve">   </w:t>
            </w:r>
          </w:p>
          <w:p w14:paraId="5A845B05" w14:textId="7799786E" w:rsidR="00B67A25" w:rsidRDefault="00B67A25" w:rsidP="00E52C4D">
            <w:pPr>
              <w:pStyle w:val="Sansinterligne"/>
              <w:rPr>
                <w:rFonts w:ascii="Times New Roman" w:hAnsi="Times New Roman"/>
                <w:b/>
                <w:sz w:val="32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 xml:space="preserve">La décision a été </w:t>
            </w:r>
            <w:r w:rsidRPr="00B67A25"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 xml:space="preserve">prise </w:t>
            </w:r>
            <w:r w:rsidR="005A11A9"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 xml:space="preserve">ce mardi 31 décembre 2019 </w:t>
            </w:r>
            <w:bookmarkStart w:id="0" w:name="_GoBack"/>
            <w:bookmarkEnd w:id="0"/>
            <w:r w:rsidRPr="00B67A25"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 xml:space="preserve">par le Conseil National de Régulation de l’Audiovisuel comme suite à ses mises en </w:t>
            </w:r>
            <w:r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>demeure restées sans effet sur d</w:t>
            </w:r>
            <w:r w:rsidRPr="00B67A25"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>es programmes diffusés par ladite télévision.</w:t>
            </w:r>
          </w:p>
          <w:p w14:paraId="22A4AD01" w14:textId="77777777" w:rsidR="00B67A25" w:rsidRPr="00B67A25" w:rsidRDefault="00B67A25" w:rsidP="00E52C4D">
            <w:pPr>
              <w:pStyle w:val="Sansinterligne"/>
              <w:rPr>
                <w:rFonts w:ascii="Times New Roman" w:hAnsi="Times New Roman"/>
                <w:b/>
                <w:sz w:val="32"/>
                <w:szCs w:val="24"/>
                <w:lang w:eastAsia="en-US"/>
              </w:rPr>
            </w:pPr>
          </w:p>
          <w:p w14:paraId="228DBF34" w14:textId="77777777" w:rsidR="00B67A25" w:rsidRDefault="00B67A25" w:rsidP="00E52C4D">
            <w:pPr>
              <w:pStyle w:val="Sansinterligne"/>
              <w:rPr>
                <w:rFonts w:ascii="Times New Roman" w:hAnsi="Times New Roman"/>
                <w:b/>
                <w:sz w:val="32"/>
                <w:szCs w:val="24"/>
                <w:lang w:eastAsia="en-US"/>
              </w:rPr>
            </w:pPr>
            <w:r w:rsidRPr="00B67A25"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 xml:space="preserve">Entre novembre et décembre 2019, tous les éditeurs audiovisuels ont été saisis en procédure de rappel des dispositions de la loi portant interdiction de diffusion </w:t>
            </w:r>
            <w:r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 xml:space="preserve">de </w:t>
            </w:r>
            <w:r w:rsidRPr="00B67A25"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>messages publicitaires relatifs aux produits cosmétiques de dépigmentation.</w:t>
            </w:r>
          </w:p>
          <w:p w14:paraId="32ECFE71" w14:textId="77777777" w:rsidR="00B67A25" w:rsidRPr="00B67A25" w:rsidRDefault="00B67A25" w:rsidP="00E52C4D">
            <w:pPr>
              <w:pStyle w:val="Sansinterligne"/>
              <w:rPr>
                <w:rFonts w:ascii="Times New Roman" w:hAnsi="Times New Roman"/>
                <w:b/>
                <w:sz w:val="32"/>
                <w:szCs w:val="24"/>
                <w:lang w:eastAsia="en-US"/>
              </w:rPr>
            </w:pPr>
          </w:p>
          <w:p w14:paraId="48E9F2A4" w14:textId="3272C26C" w:rsidR="00B67A25" w:rsidRDefault="00B67A25" w:rsidP="00E52C4D">
            <w:pPr>
              <w:pStyle w:val="Sansinterligne"/>
              <w:rPr>
                <w:rFonts w:ascii="Times New Roman" w:hAnsi="Times New Roman"/>
                <w:b/>
                <w:sz w:val="32"/>
                <w:szCs w:val="24"/>
                <w:lang w:eastAsia="en-US"/>
              </w:rPr>
            </w:pPr>
            <w:r w:rsidRPr="00B67A25"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 xml:space="preserve"> Les différents rappels n’ont certes pas été san</w:t>
            </w:r>
            <w:r w:rsidR="005A11A9"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>s réaction de la part des édit</w:t>
            </w:r>
            <w:r w:rsidRPr="00B67A25"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>eurs, ces derniers invoquant chacun de leur côté</w:t>
            </w:r>
            <w:r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>,</w:t>
            </w:r>
            <w:r w:rsidRPr="00B67A25"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 xml:space="preserve"> les contrats déjà passés avec des annonceurs. </w:t>
            </w:r>
          </w:p>
          <w:p w14:paraId="520E6341" w14:textId="77777777" w:rsidR="00B67A25" w:rsidRDefault="00B67A25" w:rsidP="00E52C4D">
            <w:pPr>
              <w:pStyle w:val="Sansinterligne"/>
              <w:rPr>
                <w:rFonts w:ascii="Times New Roman" w:hAnsi="Times New Roman"/>
                <w:b/>
                <w:sz w:val="32"/>
                <w:szCs w:val="24"/>
                <w:lang w:eastAsia="en-US"/>
              </w:rPr>
            </w:pPr>
          </w:p>
          <w:p w14:paraId="0D02A11D" w14:textId="77777777" w:rsidR="00B67A25" w:rsidRDefault="00B67A25" w:rsidP="00E52C4D">
            <w:pPr>
              <w:pStyle w:val="Sansinterligne"/>
              <w:rPr>
                <w:rFonts w:ascii="Times New Roman" w:hAnsi="Times New Roman"/>
                <w:b/>
                <w:sz w:val="32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>Le Régulateur étant, a</w:t>
            </w:r>
            <w:r w:rsidRPr="00B67A25"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 xml:space="preserve">u même titre que les médias, </w:t>
            </w:r>
            <w:r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 xml:space="preserve">tenu au respect de la Loi qui  définit ses prérogatives, </w:t>
            </w:r>
            <w:r w:rsidRPr="00B67A25"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 xml:space="preserve">le Collège a pris la décision qui s’impose. </w:t>
            </w:r>
          </w:p>
          <w:p w14:paraId="38EB899C" w14:textId="77777777" w:rsidR="00B67A25" w:rsidRDefault="00B67A25" w:rsidP="00E52C4D">
            <w:pPr>
              <w:pStyle w:val="Sansinterligne"/>
              <w:rPr>
                <w:rFonts w:ascii="Times New Roman" w:hAnsi="Times New Roman"/>
                <w:b/>
                <w:sz w:val="32"/>
                <w:szCs w:val="24"/>
                <w:lang w:eastAsia="en-US"/>
              </w:rPr>
            </w:pPr>
          </w:p>
          <w:p w14:paraId="3F0B08BA" w14:textId="216A8E2D" w:rsidR="00B67A25" w:rsidRPr="00B67A25" w:rsidRDefault="00B67A25" w:rsidP="00E52C4D">
            <w:pPr>
              <w:pStyle w:val="Sansinterligne"/>
              <w:rPr>
                <w:rFonts w:ascii="Times New Roman" w:hAnsi="Times New Roman"/>
                <w:b/>
                <w:sz w:val="32"/>
                <w:szCs w:val="24"/>
                <w:lang w:eastAsia="en-US"/>
              </w:rPr>
            </w:pPr>
            <w:r w:rsidRPr="00B67A25"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>Le Grou</w:t>
            </w:r>
            <w:r w:rsidR="005A11A9"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 xml:space="preserve">pe </w:t>
            </w:r>
            <w:proofErr w:type="spellStart"/>
            <w:r w:rsidR="005A11A9"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>DMédia</w:t>
            </w:r>
            <w:proofErr w:type="spellEnd"/>
            <w:r w:rsidR="005A11A9"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 xml:space="preserve"> est à ce jour le seul, après avoir été mis en demeure, </w:t>
            </w:r>
            <w:r w:rsidRPr="00B67A25"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>à refuser d’obéir à l’injonc</w:t>
            </w:r>
            <w:r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 xml:space="preserve">tion faite à tous les éditeurs d’arrêter la diffusion  des messages visés, </w:t>
            </w:r>
            <w:r w:rsidRPr="00B67A25"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 xml:space="preserve">conformément à la Loi </w:t>
            </w:r>
            <w:r w:rsidRPr="00B67A25">
              <w:rPr>
                <w:rFonts w:ascii="Bookman Old Style" w:hAnsi="Bookman Old Style"/>
                <w:sz w:val="32"/>
                <w:szCs w:val="24"/>
              </w:rPr>
              <w:t>n° 2017-27 du 13 juillet 2017</w:t>
            </w:r>
            <w:r w:rsidR="005A11A9">
              <w:rPr>
                <w:rFonts w:ascii="Bookman Old Style" w:hAnsi="Bookman Old Style"/>
                <w:sz w:val="32"/>
                <w:szCs w:val="24"/>
              </w:rPr>
              <w:t xml:space="preserve">, la Loi 2006 -04 du 4 janvier 2006 portant création du CNRA </w:t>
            </w:r>
            <w:r w:rsidRPr="00B67A25">
              <w:rPr>
                <w:rFonts w:ascii="Bookman Old Style" w:hAnsi="Bookman Old Style"/>
                <w:sz w:val="32"/>
                <w:szCs w:val="24"/>
              </w:rPr>
              <w:t>portant Code de la Presse </w:t>
            </w:r>
            <w:r w:rsidRPr="00B67A25">
              <w:rPr>
                <w:rFonts w:ascii="Times New Roman" w:hAnsi="Times New Roman"/>
                <w:b/>
                <w:sz w:val="32"/>
                <w:szCs w:val="24"/>
                <w:lang w:eastAsia="en-US"/>
              </w:rPr>
              <w:t xml:space="preserve">et au Cahier des Charges applicable </w:t>
            </w:r>
            <w:r w:rsidRPr="00B67A25">
              <w:rPr>
                <w:rFonts w:ascii="Bookman Old Style" w:hAnsi="Bookman Old Style"/>
                <w:sz w:val="32"/>
                <w:szCs w:val="24"/>
              </w:rPr>
              <w:t>aux titulaires d’une autorisation de diffusion de programmes de télévision privée de droit sénégalais</w:t>
            </w:r>
            <w:r w:rsidR="005A11A9">
              <w:rPr>
                <w:rFonts w:ascii="Bookman Old Style" w:hAnsi="Bookman Old Style"/>
                <w:sz w:val="32"/>
                <w:szCs w:val="24"/>
              </w:rPr>
              <w:t>.</w:t>
            </w:r>
          </w:p>
          <w:p w14:paraId="255AA65B" w14:textId="77777777" w:rsidR="00B67A25" w:rsidRPr="00B67A25" w:rsidRDefault="00B67A25" w:rsidP="00E52C4D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21ACC248" w14:textId="77777777" w:rsidR="00B67A25" w:rsidRPr="00B67A25" w:rsidRDefault="00B67A25" w:rsidP="00B67A25">
            <w:pPr>
              <w:pStyle w:val="Sansinterligne"/>
              <w:rPr>
                <w:rFonts w:ascii="Times New Roman" w:hAnsi="Times New Roman"/>
                <w:b/>
                <w:sz w:val="36"/>
                <w:szCs w:val="24"/>
                <w:lang w:eastAsia="en-US"/>
              </w:rPr>
            </w:pPr>
            <w:r w:rsidRPr="00B67A25">
              <w:rPr>
                <w:rFonts w:ascii="Times New Roman" w:hAnsi="Times New Roman"/>
                <w:b/>
                <w:sz w:val="36"/>
                <w:szCs w:val="24"/>
                <w:lang w:eastAsia="en-US"/>
              </w:rPr>
              <w:t>Voir en PJ les attendus et la Motivation de la décision qui fonde l’action du CNRA.</w:t>
            </w:r>
          </w:p>
          <w:p w14:paraId="7BA61A18" w14:textId="77777777" w:rsidR="00B67A25" w:rsidRPr="00B67A25" w:rsidRDefault="00B67A25" w:rsidP="00E52C4D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2E441809" w14:textId="77777777" w:rsidR="00B67A25" w:rsidRPr="00B67A25" w:rsidRDefault="00B67A25" w:rsidP="00E52C4D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055ADAEE" w14:textId="77777777" w:rsidR="00B67A25" w:rsidRPr="00B67A25" w:rsidRDefault="00B67A25" w:rsidP="00E52C4D">
            <w:pPr>
              <w:pStyle w:val="Sansinterligne"/>
              <w:ind w:left="-2782" w:hanging="8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098D7EC8" w14:textId="77777777" w:rsidR="00B67A25" w:rsidRPr="00B67A25" w:rsidRDefault="00B67A25" w:rsidP="00E52C4D">
            <w:pPr>
              <w:pStyle w:val="Sansinterligne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1445797A" w14:textId="77777777" w:rsidR="00B67A25" w:rsidRPr="00B67A25" w:rsidRDefault="00B67A25" w:rsidP="00E52C4D">
            <w:pPr>
              <w:pStyle w:val="Sansinterligne"/>
              <w:tabs>
                <w:tab w:val="left" w:pos="4335"/>
              </w:tabs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67A2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ab/>
            </w:r>
          </w:p>
          <w:p w14:paraId="48520759" w14:textId="77777777" w:rsidR="00B67A25" w:rsidRPr="00B67A25" w:rsidRDefault="00B67A25" w:rsidP="00E52C4D">
            <w:pPr>
              <w:pStyle w:val="Sansinterligne"/>
              <w:jc w:val="right"/>
              <w:rPr>
                <w:b/>
                <w:noProof/>
                <w:sz w:val="24"/>
                <w:szCs w:val="24"/>
                <w:lang w:eastAsia="en-US"/>
              </w:rPr>
            </w:pPr>
          </w:p>
        </w:tc>
      </w:tr>
    </w:tbl>
    <w:p w14:paraId="69EFBA22" w14:textId="77777777" w:rsidR="003B31F6" w:rsidRPr="00B67A25" w:rsidRDefault="003B31F6">
      <w:pPr>
        <w:rPr>
          <w:sz w:val="24"/>
          <w:szCs w:val="24"/>
        </w:rPr>
      </w:pPr>
    </w:p>
    <w:sectPr w:rsidR="003B31F6" w:rsidRPr="00B67A25" w:rsidSect="00C0765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25"/>
    <w:rsid w:val="00371DB6"/>
    <w:rsid w:val="003B31F6"/>
    <w:rsid w:val="00412081"/>
    <w:rsid w:val="005A11A9"/>
    <w:rsid w:val="00B67A25"/>
    <w:rsid w:val="00C07652"/>
    <w:rsid w:val="00E5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B933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A2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B67A25"/>
    <w:rPr>
      <w:rFonts w:ascii="Calibri" w:eastAsia="Calibri" w:hAnsi="Calibri" w:cs="Times New Roman"/>
      <w:sz w:val="20"/>
      <w:szCs w:val="20"/>
    </w:rPr>
  </w:style>
  <w:style w:type="character" w:customStyle="1" w:styleId="SansinterligneCar">
    <w:name w:val="Sans interligne Car"/>
    <w:link w:val="Sansinterligne"/>
    <w:uiPriority w:val="1"/>
    <w:rsid w:val="00B67A25"/>
    <w:rPr>
      <w:rFonts w:ascii="Calibri" w:eastAsia="Calibri" w:hAnsi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2C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2C4D"/>
    <w:rPr>
      <w:rFonts w:ascii="Lucida Grande" w:eastAsia="Calibri" w:hAnsi="Lucida Grande" w:cs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A2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B67A25"/>
    <w:rPr>
      <w:rFonts w:ascii="Calibri" w:eastAsia="Calibri" w:hAnsi="Calibri" w:cs="Times New Roman"/>
      <w:sz w:val="20"/>
      <w:szCs w:val="20"/>
    </w:rPr>
  </w:style>
  <w:style w:type="character" w:customStyle="1" w:styleId="SansinterligneCar">
    <w:name w:val="Sans interligne Car"/>
    <w:link w:val="Sansinterligne"/>
    <w:uiPriority w:val="1"/>
    <w:rsid w:val="00B67A25"/>
    <w:rPr>
      <w:rFonts w:ascii="Calibri" w:eastAsia="Calibri" w:hAnsi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2C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2C4D"/>
    <w:rPr>
      <w:rFonts w:ascii="Lucida Grande" w:eastAsia="Calibri" w:hAnsi="Lucida Grande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253</Words>
  <Characters>1392</Characters>
  <Application>Microsoft Macintosh Word</Application>
  <DocSecurity>0</DocSecurity>
  <Lines>11</Lines>
  <Paragraphs>3</Paragraphs>
  <ScaleCrop>false</ScaleCrop>
  <Company>BAKHOUM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BASS </dc:creator>
  <cp:keywords/>
  <dc:description/>
  <cp:lastModifiedBy>MR BASS </cp:lastModifiedBy>
  <cp:revision>3</cp:revision>
  <dcterms:created xsi:type="dcterms:W3CDTF">2019-12-31T16:36:00Z</dcterms:created>
  <dcterms:modified xsi:type="dcterms:W3CDTF">2019-12-31T17:01:00Z</dcterms:modified>
</cp:coreProperties>
</file>