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5B40" w14:textId="77777777" w:rsidR="00082682" w:rsidRDefault="001E3FBE">
      <w:pPr>
        <w:shd w:val="clear" w:color="auto" w:fill="B8963E"/>
      </w:pPr>
      <w:r>
        <w:rPr>
          <w:sz w:val="6"/>
          <w:szCs w:val="6"/>
        </w:rPr>
        <w:t> </w:t>
      </w:r>
    </w:p>
    <w:p w14:paraId="538690DF" w14:textId="77777777" w:rsidR="00082682" w:rsidRDefault="00082682">
      <w:pPr>
        <w:spacing w:before="280"/>
      </w:pPr>
    </w:p>
    <w:p w14:paraId="6C70A721" w14:textId="77777777" w:rsidR="00082682" w:rsidRDefault="001E3FBE">
      <w:pPr>
        <w:spacing w:after="100"/>
        <w:jc w:val="center"/>
      </w:pPr>
      <w:r>
        <w:rPr>
          <w:rFonts w:ascii="Garamond" w:eastAsia="Garamond" w:hAnsi="Garamond" w:cs="Garamond"/>
          <w:b/>
          <w:bCs/>
          <w:color w:val="B8963E"/>
          <w:sz w:val="18"/>
          <w:szCs w:val="18"/>
        </w:rPr>
        <w:t>ANALYSE • GOUVERNANCE • INSTITUTIONS</w:t>
      </w:r>
    </w:p>
    <w:p w14:paraId="38C8A150" w14:textId="77777777" w:rsidR="00082682" w:rsidRDefault="001E3FBE">
      <w:pPr>
        <w:spacing w:after="60"/>
        <w:jc w:val="center"/>
      </w:pPr>
      <w:r>
        <w:rPr>
          <w:rFonts w:ascii="Garamond" w:eastAsia="Garamond" w:hAnsi="Garamond" w:cs="Garamond"/>
          <w:b/>
          <w:bCs/>
          <w:color w:val="1B2A4A"/>
          <w:sz w:val="52"/>
          <w:szCs w:val="52"/>
        </w:rPr>
        <w:t>Fondation Sénégal Solidaire</w:t>
      </w:r>
    </w:p>
    <w:p w14:paraId="03E14B5D" w14:textId="77777777" w:rsidR="00082682" w:rsidRDefault="001E3FBE">
      <w:pPr>
        <w:spacing w:after="260"/>
        <w:jc w:val="center"/>
      </w:pPr>
      <w:r>
        <w:rPr>
          <w:rFonts w:ascii="Garamond" w:eastAsia="Garamond" w:hAnsi="Garamond" w:cs="Garamond"/>
          <w:i/>
          <w:iCs/>
          <w:color w:val="B8963E"/>
          <w:sz w:val="30"/>
          <w:szCs w:val="30"/>
        </w:rPr>
        <w:t>Quand l’inédit appelle l’analyse</w:t>
      </w:r>
    </w:p>
    <w:p w14:paraId="7514E554" w14:textId="77777777" w:rsidR="00082682" w:rsidRDefault="00082682">
      <w:pPr>
        <w:pBdr>
          <w:bottom w:val="single" w:sz="8" w:space="1" w:color="B8963E"/>
        </w:pBdr>
        <w:spacing w:after="260"/>
        <w:jc w:val="center"/>
      </w:pPr>
    </w:p>
    <w:p w14:paraId="3DAED0B6" w14:textId="77777777" w:rsidR="00082682" w:rsidRDefault="001E3FBE">
      <w:pPr>
        <w:spacing w:after="50"/>
        <w:jc w:val="center"/>
      </w:pPr>
      <w:r>
        <w:rPr>
          <w:rFonts w:ascii="Garamond" w:eastAsia="Garamond" w:hAnsi="Garamond" w:cs="Garamond"/>
          <w:b/>
          <w:bCs/>
          <w:color w:val="1B2A4A"/>
          <w:sz w:val="28"/>
          <w:szCs w:val="28"/>
        </w:rPr>
        <w:t xml:space="preserve">Mamadou </w:t>
      </w:r>
      <w:proofErr w:type="spellStart"/>
      <w:r>
        <w:rPr>
          <w:rFonts w:ascii="Garamond" w:eastAsia="Garamond" w:hAnsi="Garamond" w:cs="Garamond"/>
          <w:b/>
          <w:bCs/>
          <w:color w:val="1B2A4A"/>
          <w:sz w:val="28"/>
          <w:szCs w:val="28"/>
        </w:rPr>
        <w:t>Thiam</w:t>
      </w:r>
      <w:proofErr w:type="spellEnd"/>
    </w:p>
    <w:p w14:paraId="7689A012" w14:textId="77777777" w:rsidR="00082682" w:rsidRDefault="001E3FBE">
      <w:pPr>
        <w:spacing w:after="40"/>
        <w:jc w:val="center"/>
      </w:pPr>
      <w:r>
        <w:rPr>
          <w:rFonts w:ascii="Garamond" w:eastAsia="Garamond" w:hAnsi="Garamond" w:cs="Garamond"/>
          <w:i/>
          <w:iCs/>
          <w:color w:val="6B6B6B"/>
          <w:sz w:val="20"/>
          <w:szCs w:val="20"/>
        </w:rPr>
        <w:t>Expert en stratégies, performance et transition</w:t>
      </w:r>
    </w:p>
    <w:p w14:paraId="18CEB718" w14:textId="77777777" w:rsidR="00082682" w:rsidRDefault="001E3FBE">
      <w:pPr>
        <w:spacing w:after="480"/>
        <w:jc w:val="center"/>
      </w:pPr>
      <w:r>
        <w:rPr>
          <w:rFonts w:ascii="Garamond" w:eastAsia="Garamond" w:hAnsi="Garamond" w:cs="Garamond"/>
          <w:color w:val="B8963E"/>
          <w:sz w:val="18"/>
          <w:szCs w:val="18"/>
        </w:rPr>
        <w:t>mamadouthiam@hotmail.com</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082682" w14:paraId="0011A867" w14:textId="77777777">
        <w:tblPrEx>
          <w:tblCellMar>
            <w:top w:w="0" w:type="dxa"/>
            <w:bottom w:w="0" w:type="dxa"/>
          </w:tblCellMar>
        </w:tblPrEx>
        <w:tc>
          <w:tcPr>
            <w:tcW w:w="0" w:type="auto"/>
            <w:tcBorders>
              <w:top w:val="single" w:sz="12" w:space="0" w:color="B8963E"/>
              <w:left w:val="single" w:sz="4" w:space="0" w:color="B8963E"/>
              <w:bottom w:val="single" w:sz="12" w:space="0" w:color="B8963E"/>
              <w:right w:val="single" w:sz="4" w:space="0" w:color="B8963E"/>
            </w:tcBorders>
            <w:shd w:val="clear" w:color="auto" w:fill="F5F0E8"/>
            <w:tcMar>
              <w:top w:w="220" w:type="dxa"/>
              <w:left w:w="340" w:type="dxa"/>
              <w:bottom w:w="220" w:type="dxa"/>
              <w:right w:w="340" w:type="dxa"/>
            </w:tcMar>
          </w:tcPr>
          <w:p w14:paraId="4D52E46B" w14:textId="77777777" w:rsidR="00082682" w:rsidRDefault="001E3FBE">
            <w:pPr>
              <w:spacing w:line="330" w:lineRule="auto"/>
              <w:jc w:val="both"/>
            </w:pPr>
            <w:r>
              <w:rPr>
                <w:i/>
                <w:iCs/>
                <w:color w:val="1B2A4A"/>
              </w:rPr>
              <w:t xml:space="preserve">La création de la Fondation Sénégal Solidaire, portée conjointement par </w:t>
            </w:r>
            <w:proofErr w:type="spellStart"/>
            <w:r>
              <w:rPr>
                <w:i/>
                <w:iCs/>
                <w:color w:val="1B2A4A"/>
              </w:rPr>
              <w:t>Absa</w:t>
            </w:r>
            <w:proofErr w:type="spellEnd"/>
            <w:r>
              <w:rPr>
                <w:i/>
                <w:iCs/>
                <w:color w:val="1B2A4A"/>
              </w:rPr>
              <w:t xml:space="preserve"> Faye et Marie </w:t>
            </w:r>
            <w:proofErr w:type="spellStart"/>
            <w:r>
              <w:rPr>
                <w:i/>
                <w:iCs/>
                <w:color w:val="1B2A4A"/>
              </w:rPr>
              <w:t>Khone</w:t>
            </w:r>
            <w:proofErr w:type="spellEnd"/>
            <w:r>
              <w:rPr>
                <w:i/>
                <w:iCs/>
                <w:color w:val="1B2A4A"/>
              </w:rPr>
              <w:t xml:space="preserve"> Faye, referme un débat couvant depuis deux ans. Plutôt que de saluer ou critiquer par réflexe, il est temps d’analyser — et de proposer.</w:t>
            </w:r>
          </w:p>
        </w:tc>
      </w:tr>
    </w:tbl>
    <w:p w14:paraId="40762E7E" w14:textId="77777777" w:rsidR="00082682" w:rsidRDefault="00082682">
      <w:pPr>
        <w:spacing w:before="540"/>
      </w:pPr>
    </w:p>
    <w:p w14:paraId="10E25EA9" w14:textId="77777777" w:rsidR="00082682" w:rsidRDefault="001E3FBE">
      <w:r>
        <w:br w:type="page"/>
      </w:r>
    </w:p>
    <w:p w14:paraId="57563410" w14:textId="77777777" w:rsidR="00082682" w:rsidRDefault="001E3FBE">
      <w:pPr>
        <w:pStyle w:val="Titre1"/>
      </w:pPr>
      <w:r>
        <w:t>I. Déconstruire un amalgame</w:t>
      </w:r>
    </w:p>
    <w:p w14:paraId="21182C45" w14:textId="77777777" w:rsidR="00082682" w:rsidRDefault="00082682">
      <w:pPr>
        <w:pBdr>
          <w:bottom w:val="single" w:sz="6" w:space="1" w:color="B8963E"/>
        </w:pBdr>
        <w:spacing w:before="60" w:after="180"/>
      </w:pPr>
    </w:p>
    <w:p w14:paraId="37672078" w14:textId="77777777" w:rsidR="00082682" w:rsidRDefault="001E3FBE">
      <w:pPr>
        <w:spacing w:after="200" w:line="336" w:lineRule="auto"/>
        <w:jc w:val="both"/>
      </w:pPr>
      <w:r>
        <w:t>Aucun texte constitutionnel ou réglementaire n’impose à une première dame de créer une fondation, ni ne le lui interdit. Le concept même de « première dame » — hérité d’une tradition américaine — reste partout un usage protocolaire, non une fonction légale. Confondre absence de fondation et vide moral, c’est méconnaître cette réalité juridique fondamentale.</w:t>
      </w:r>
    </w:p>
    <w:p w14:paraId="0A55676D" w14:textId="77777777" w:rsidR="00082682" w:rsidRDefault="001E3FBE">
      <w:pPr>
        <w:spacing w:after="200" w:line="336" w:lineRule="auto"/>
        <w:jc w:val="both"/>
      </w:pPr>
      <w:r>
        <w:t>La fondation obéit, elle, à un cadre strict. Et c’est précisément ce cadre — avec le décret présidentiel qu’il requiert — qui place le chef de l’État au cœur du dispositif, à la fois époux et signataire. L’absence de fondation est donc aussi, toujours, une décision présidentielle.</w:t>
      </w:r>
    </w:p>
    <w:p w14:paraId="096D6D2F" w14:textId="77777777" w:rsidR="00082682" w:rsidRDefault="00082682">
      <w:pPr>
        <w:spacing w:before="80"/>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58"/>
        <w:gridCol w:w="3728"/>
      </w:tblGrid>
      <w:tr w:rsidR="00082682" w14:paraId="6355A8D9" w14:textId="77777777">
        <w:tblPrEx>
          <w:tblCellMar>
            <w:top w:w="0" w:type="dxa"/>
            <w:bottom w:w="0" w:type="dxa"/>
          </w:tblCellMar>
        </w:tblPrEx>
        <w:tc>
          <w:tcPr>
            <w:tcW w:w="0" w:type="auto"/>
            <w:gridSpan w:val="2"/>
            <w:shd w:val="clear" w:color="auto" w:fill="1B2A4A"/>
            <w:tcMar>
              <w:top w:w="160" w:type="dxa"/>
              <w:left w:w="300" w:type="dxa"/>
              <w:bottom w:w="160" w:type="dxa"/>
              <w:right w:w="300" w:type="dxa"/>
            </w:tcMar>
          </w:tcPr>
          <w:p w14:paraId="46025A79" w14:textId="77777777" w:rsidR="00082682" w:rsidRDefault="001E3FBE">
            <w:pPr>
              <w:jc w:val="center"/>
            </w:pPr>
            <w:r>
              <w:rPr>
                <w:rFonts w:ascii="Garamond" w:eastAsia="Garamond" w:hAnsi="Garamond" w:cs="Garamond"/>
                <w:b/>
                <w:bCs/>
                <w:color w:val="B8963E"/>
                <w:sz w:val="19"/>
                <w:szCs w:val="19"/>
              </w:rPr>
              <w:t>⭐</w:t>
            </w:r>
            <w:r>
              <w:rPr>
                <w:rFonts w:ascii="Garamond" w:eastAsia="Garamond" w:hAnsi="Garamond" w:cs="Garamond"/>
                <w:b/>
                <w:bCs/>
                <w:color w:val="B8963E"/>
                <w:sz w:val="19"/>
                <w:szCs w:val="19"/>
              </w:rPr>
              <w:t xml:space="preserve">  REPÈRES JURIDIQUES ET COMPARAISONS INTERNATIONALES</w:t>
            </w:r>
          </w:p>
        </w:tc>
      </w:tr>
      <w:tr w:rsidR="00082682" w14:paraId="0DF7D60F" w14:textId="77777777">
        <w:tblPrEx>
          <w:tblCellMar>
            <w:top w:w="0" w:type="dxa"/>
            <w:bottom w:w="0" w:type="dxa"/>
          </w:tblCellMar>
        </w:tblPrEx>
        <w:tc>
          <w:tcPr>
            <w:tcW w:w="0" w:type="auto"/>
            <w:tcBorders>
              <w:bottom w:val="single" w:sz="2" w:space="0" w:color="B8963E"/>
              <w:right w:val="single" w:sz="2" w:space="0" w:color="B8963E"/>
            </w:tcBorders>
            <w:shd w:val="clear" w:color="auto" w:fill="F5F0E8"/>
            <w:tcMar>
              <w:top w:w="160" w:type="dxa"/>
              <w:left w:w="220" w:type="dxa"/>
              <w:bottom w:w="160" w:type="dxa"/>
              <w:right w:w="200" w:type="dxa"/>
            </w:tcMar>
          </w:tcPr>
          <w:p w14:paraId="683B8551" w14:textId="77777777" w:rsidR="00082682" w:rsidRDefault="001E3FBE">
            <w:pPr>
              <w:spacing w:after="100"/>
            </w:pPr>
            <w:r>
              <w:rPr>
                <w:rFonts w:ascii="Garamond" w:eastAsia="Garamond" w:hAnsi="Garamond" w:cs="Garamond"/>
                <w:b/>
                <w:bCs/>
                <w:color w:val="1B2A4A"/>
                <w:sz w:val="19"/>
                <w:szCs w:val="19"/>
              </w:rPr>
              <w:t>🇸🇳</w:t>
            </w:r>
            <w:r>
              <w:rPr>
                <w:rFonts w:ascii="Garamond" w:eastAsia="Garamond" w:hAnsi="Garamond" w:cs="Garamond"/>
                <w:b/>
                <w:bCs/>
                <w:color w:val="1B2A4A"/>
                <w:sz w:val="19"/>
                <w:szCs w:val="19"/>
              </w:rPr>
              <w:t xml:space="preserve">  Sénégal — Loi 95-11 du 7 avril 1995</w:t>
            </w:r>
          </w:p>
          <w:p w14:paraId="4E765143" w14:textId="77777777" w:rsidR="00082682" w:rsidRDefault="001E3FBE">
            <w:pPr>
              <w:spacing w:after="80" w:line="290" w:lineRule="auto"/>
              <w:jc w:val="both"/>
            </w:pPr>
            <w:r>
              <w:rPr>
                <w:sz w:val="19"/>
                <w:szCs w:val="19"/>
              </w:rPr>
              <w:t>La fondation est définie comme « une personne morale créée pour affecter irrévocablement des biens à une œuvre d’intérêt général ». Son existence est conditionnée par un décret présidentiel lui conférant le statut d’établissement d’utilité publique.</w:t>
            </w:r>
          </w:p>
          <w:p w14:paraId="2C185334" w14:textId="77777777" w:rsidR="00082682" w:rsidRDefault="001E3FBE">
            <w:pPr>
              <w:spacing w:before="80"/>
            </w:pPr>
            <w:r>
              <w:rPr>
                <w:i/>
                <w:iCs/>
                <w:color w:val="1B2A4A"/>
                <w:sz w:val="18"/>
                <w:szCs w:val="18"/>
              </w:rPr>
              <w:t>→ Aucune disposition n’interdit à une première dame d’en être fondatrice ou présidente.</w:t>
            </w:r>
          </w:p>
        </w:tc>
        <w:tc>
          <w:tcPr>
            <w:tcW w:w="0" w:type="auto"/>
            <w:tcBorders>
              <w:left w:val="single" w:sz="2" w:space="0" w:color="B8963E"/>
              <w:bottom w:val="single" w:sz="2" w:space="0" w:color="B8963E"/>
            </w:tcBorders>
            <w:shd w:val="clear" w:color="auto" w:fill="FFFFFF"/>
            <w:tcMar>
              <w:top w:w="160" w:type="dxa"/>
              <w:left w:w="200" w:type="dxa"/>
              <w:bottom w:w="160" w:type="dxa"/>
              <w:right w:w="160" w:type="dxa"/>
            </w:tcMar>
          </w:tcPr>
          <w:p w14:paraId="3C3CBFE4" w14:textId="77777777" w:rsidR="00082682" w:rsidRDefault="001E3FBE">
            <w:pPr>
              <w:spacing w:after="80"/>
            </w:pPr>
            <w:r>
              <w:rPr>
                <w:rFonts w:ascii="Garamond" w:eastAsia="Garamond" w:hAnsi="Garamond" w:cs="Garamond"/>
                <w:b/>
                <w:bCs/>
                <w:color w:val="1B2A4A"/>
                <w:sz w:val="19"/>
                <w:szCs w:val="19"/>
              </w:rPr>
              <w:t>🌍</w:t>
            </w:r>
            <w:r>
              <w:rPr>
                <w:rFonts w:ascii="Garamond" w:eastAsia="Garamond" w:hAnsi="Garamond" w:cs="Garamond"/>
                <w:b/>
                <w:bCs/>
                <w:color w:val="1B2A4A"/>
                <w:sz w:val="19"/>
                <w:szCs w:val="19"/>
              </w:rPr>
              <w:t xml:space="preserve">  Comparaisons internationales</w:t>
            </w:r>
          </w:p>
          <w:p w14:paraId="019A6B0B" w14:textId="77777777" w:rsidR="00082682" w:rsidRDefault="001E3FBE">
            <w:pPr>
              <w:spacing w:after="50" w:line="280" w:lineRule="auto"/>
            </w:pPr>
            <w:r>
              <w:rPr>
                <w:rFonts w:ascii="Garamond" w:eastAsia="Garamond" w:hAnsi="Garamond" w:cs="Garamond"/>
                <w:b/>
                <w:bCs/>
                <w:color w:val="1A5276"/>
                <w:sz w:val="18"/>
                <w:szCs w:val="18"/>
              </w:rPr>
              <w:t>🇺🇸</w:t>
            </w:r>
            <w:r>
              <w:rPr>
                <w:rFonts w:ascii="Garamond" w:eastAsia="Garamond" w:hAnsi="Garamond" w:cs="Garamond"/>
                <w:b/>
                <w:bCs/>
                <w:color w:val="1A5276"/>
                <w:sz w:val="18"/>
                <w:szCs w:val="18"/>
              </w:rPr>
              <w:t xml:space="preserve"> États-Unis : </w:t>
            </w:r>
            <w:r>
              <w:rPr>
                <w:sz w:val="18"/>
                <w:szCs w:val="18"/>
              </w:rPr>
              <w:t>Cabinet officiel créé par loi en 1978 seulement.</w:t>
            </w:r>
          </w:p>
          <w:p w14:paraId="1C0936FA" w14:textId="77777777" w:rsidR="00082682" w:rsidRDefault="001E3FBE">
            <w:pPr>
              <w:spacing w:after="50" w:line="280" w:lineRule="auto"/>
            </w:pPr>
            <w:r>
              <w:rPr>
                <w:rFonts w:ascii="Garamond" w:eastAsia="Garamond" w:hAnsi="Garamond" w:cs="Garamond"/>
                <w:b/>
                <w:bCs/>
                <w:color w:val="1A5276"/>
                <w:sz w:val="18"/>
                <w:szCs w:val="18"/>
              </w:rPr>
              <w:t>🇫🇷</w:t>
            </w:r>
            <w:r>
              <w:rPr>
                <w:rFonts w:ascii="Garamond" w:eastAsia="Garamond" w:hAnsi="Garamond" w:cs="Garamond"/>
                <w:b/>
                <w:bCs/>
                <w:color w:val="1A5276"/>
                <w:sz w:val="18"/>
                <w:szCs w:val="18"/>
              </w:rPr>
              <w:t xml:space="preserve"> France : </w:t>
            </w:r>
            <w:r>
              <w:rPr>
                <w:sz w:val="18"/>
                <w:szCs w:val="18"/>
              </w:rPr>
              <w:t>Charte sans valeur légale adoptée en 2017. Brigitte Macron préside la Fondation Hôpitaux de France indépendamment de l’Élysée.</w:t>
            </w:r>
          </w:p>
          <w:p w14:paraId="288ECE38" w14:textId="77777777" w:rsidR="00082682" w:rsidRDefault="001E3FBE">
            <w:pPr>
              <w:spacing w:after="50" w:line="280" w:lineRule="auto"/>
            </w:pPr>
            <w:r>
              <w:rPr>
                <w:rFonts w:ascii="Garamond" w:eastAsia="Garamond" w:hAnsi="Garamond" w:cs="Garamond"/>
                <w:b/>
                <w:bCs/>
                <w:color w:val="1A5276"/>
                <w:sz w:val="18"/>
                <w:szCs w:val="18"/>
              </w:rPr>
              <w:t xml:space="preserve">All., R.-U., Japon : </w:t>
            </w:r>
            <w:r>
              <w:rPr>
                <w:sz w:val="18"/>
                <w:szCs w:val="18"/>
              </w:rPr>
              <w:t>Pas de fondation de première dame. Tissu associatif en substitut.</w:t>
            </w:r>
          </w:p>
          <w:p w14:paraId="0989FE92" w14:textId="77777777" w:rsidR="00082682" w:rsidRDefault="001E3FBE">
            <w:pPr>
              <w:spacing w:line="280" w:lineRule="auto"/>
            </w:pPr>
            <w:r>
              <w:rPr>
                <w:rFonts w:ascii="Garamond" w:eastAsia="Garamond" w:hAnsi="Garamond" w:cs="Garamond"/>
                <w:b/>
                <w:bCs/>
                <w:color w:val="1A5276"/>
                <w:sz w:val="18"/>
                <w:szCs w:val="18"/>
              </w:rPr>
              <w:t xml:space="preserve">Sénégal (précédents) : </w:t>
            </w:r>
            <w:r>
              <w:rPr>
                <w:sz w:val="18"/>
                <w:szCs w:val="18"/>
              </w:rPr>
              <w:t>Fondations Solidarité Partage, Éducation Santé, Servir le Sénégal — toutes à dénominations génériques.</w:t>
            </w:r>
          </w:p>
        </w:tc>
      </w:tr>
      <w:tr w:rsidR="00082682" w14:paraId="44E0F605" w14:textId="77777777">
        <w:tblPrEx>
          <w:tblCellMar>
            <w:top w:w="0" w:type="dxa"/>
            <w:bottom w:w="0" w:type="dxa"/>
          </w:tblCellMar>
        </w:tblPrEx>
        <w:tc>
          <w:tcPr>
            <w:tcW w:w="0" w:type="auto"/>
            <w:gridSpan w:val="2"/>
            <w:shd w:val="clear" w:color="auto" w:fill="1B2A4A"/>
            <w:tcMar>
              <w:top w:w="120" w:type="dxa"/>
              <w:left w:w="300" w:type="dxa"/>
              <w:bottom w:w="120" w:type="dxa"/>
              <w:right w:w="300" w:type="dxa"/>
            </w:tcMar>
          </w:tcPr>
          <w:p w14:paraId="77DBC351" w14:textId="77777777" w:rsidR="00082682" w:rsidRDefault="001E3FBE">
            <w:pPr>
              <w:jc w:val="center"/>
            </w:pPr>
            <w:r>
              <w:rPr>
                <w:rFonts w:ascii="Garamond" w:eastAsia="Garamond" w:hAnsi="Garamond" w:cs="Garamond"/>
                <w:i/>
                <w:iCs/>
                <w:color w:val="B8963E"/>
                <w:sz w:val="19"/>
                <w:szCs w:val="19"/>
              </w:rPr>
              <w:t>Au Sénégal, la fondation de première dame n’est ni une obligation, ni une tradition personnalisée : c’est un choix institutionnel encadré par la loi et validé par le Président.</w:t>
            </w:r>
          </w:p>
        </w:tc>
      </w:tr>
    </w:tbl>
    <w:p w14:paraId="054AFC28" w14:textId="77777777" w:rsidR="00082682" w:rsidRDefault="00082682">
      <w:pPr>
        <w:spacing w:before="200"/>
      </w:pPr>
    </w:p>
    <w:p w14:paraId="28B831F2" w14:textId="77777777" w:rsidR="00082682" w:rsidRDefault="001E3FBE">
      <w:pPr>
        <w:pStyle w:val="Titre1"/>
      </w:pPr>
      <w:r>
        <w:t>II. Une absence politiquement chargée</w:t>
      </w:r>
    </w:p>
    <w:p w14:paraId="3D60D938" w14:textId="77777777" w:rsidR="00082682" w:rsidRDefault="00082682">
      <w:pPr>
        <w:pBdr>
          <w:bottom w:val="single" w:sz="6" w:space="1" w:color="B8963E"/>
        </w:pBdr>
        <w:spacing w:before="60" w:after="180"/>
      </w:pPr>
    </w:p>
    <w:p w14:paraId="477A1E0C" w14:textId="77777777" w:rsidR="00082682" w:rsidRDefault="001E3FBE">
      <w:pPr>
        <w:spacing w:after="200" w:line="336" w:lineRule="auto"/>
        <w:jc w:val="both"/>
      </w:pPr>
      <w:r>
        <w:t xml:space="preserve">L’absence de fondation sous </w:t>
      </w:r>
      <w:proofErr w:type="spellStart"/>
      <w:r>
        <w:t>Diomaye</w:t>
      </w:r>
      <w:proofErr w:type="spellEnd"/>
      <w:r>
        <w:t xml:space="preserve"> Faye n’était pas un oubli. Elle était une position — cohérente avec l’ADN idéologique du </w:t>
      </w:r>
      <w:proofErr w:type="spellStart"/>
      <w:r>
        <w:t>Pastef</w:t>
      </w:r>
      <w:proofErr w:type="spellEnd"/>
      <w:r>
        <w:t>, construit sur la dénonciation de la patrimonialisation de l’État. Dans ce récit fondateur, la fondation de première dame symbolisait ce qu’il fallait réformer : un instrument hybride, à mi-chemin entre action publique et initiative privée.</w:t>
      </w:r>
    </w:p>
    <w:p w14:paraId="32DF90FF" w14:textId="77777777" w:rsidR="00082682" w:rsidRDefault="001E3FBE">
      <w:pPr>
        <w:spacing w:after="200" w:line="336" w:lineRule="auto"/>
        <w:jc w:val="both"/>
      </w:pPr>
      <w:r>
        <w:t>Le silence présidentiel prolongé n’était pas une fin de non-recevoir. C’était une réserve stratégique. Dans l’intervalle, une ingénierie discrète s’était mise en place : périmètres d’action distincts pour chacune des deux premières dames, segmentation thématique entre jeunes filles et enfants en bas âge. Efficace, mais limité faute de personnalité morale.</w:t>
      </w:r>
    </w:p>
    <w:p w14:paraId="45CA49EC" w14:textId="77777777" w:rsidR="00082682" w:rsidRDefault="001E3FBE">
      <w:pPr>
        <w:spacing w:after="200" w:line="336" w:lineRule="auto"/>
        <w:jc w:val="both"/>
      </w:pPr>
      <w:r>
        <w:t>Attendre deux ans, puis concevoir une fondation commune et impersonnelle : c’est peut-être la manière choisie de réconcilier l’instrument avec l’idéologie — sans renier l’une ni abandonner l’autre.</w:t>
      </w:r>
    </w:p>
    <w:p w14:paraId="7C82C0EA" w14:textId="77777777" w:rsidR="00082682" w:rsidRDefault="001E3FBE">
      <w:pPr>
        <w:pStyle w:val="Titre1"/>
      </w:pPr>
      <w:r>
        <w:t>III. Une solution inédite</w:t>
      </w:r>
    </w:p>
    <w:p w14:paraId="3F2FDD93" w14:textId="77777777" w:rsidR="00082682" w:rsidRDefault="00082682">
      <w:pPr>
        <w:pBdr>
          <w:bottom w:val="single" w:sz="6" w:space="1" w:color="B8963E"/>
        </w:pBdr>
        <w:spacing w:before="60" w:after="180"/>
      </w:pPr>
    </w:p>
    <w:p w14:paraId="2A5420F4" w14:textId="77777777" w:rsidR="00082682" w:rsidRDefault="001E3FBE">
      <w:pPr>
        <w:spacing w:after="200" w:line="336" w:lineRule="auto"/>
        <w:jc w:val="both"/>
      </w:pPr>
      <w:r>
        <w:t>Une fondation commune à deux premières dames : la décision est apparemment technique, mais politiquement remarquable. Elle neutralise le risque de compétition symbolique en faisant de la complémentarité une architecture. Une seule entité, deux visages, une mission partagée.</w:t>
      </w:r>
    </w:p>
    <w:p w14:paraId="7880EE3B" w14:textId="77777777" w:rsidR="00082682" w:rsidRDefault="001E3FBE">
      <w:pPr>
        <w:spacing w:after="200" w:line="336" w:lineRule="auto"/>
        <w:jc w:val="both"/>
      </w:pPr>
      <w:r>
        <w:t xml:space="preserve">Le Président </w:t>
      </w:r>
      <w:proofErr w:type="spellStart"/>
      <w:r>
        <w:t>Diomaye</w:t>
      </w:r>
      <w:proofErr w:type="spellEnd"/>
      <w:r>
        <w:t xml:space="preserve"> Faye avait déjà réussi le pari protocolaire d’assumer officiellement la </w:t>
      </w:r>
      <w:proofErr w:type="spellStart"/>
      <w:r>
        <w:t>coépousie</w:t>
      </w:r>
      <w:proofErr w:type="spellEnd"/>
      <w:r>
        <w:t xml:space="preserve"> sans répercussion majeure. La fondation commune prolonge cette logique : c’est une réponse institutionnelle originale à une situation sans précédent mondial connu.</w:t>
      </w:r>
    </w:p>
    <w:p w14:paraId="0540331D" w14:textId="77777777" w:rsidR="00082682" w:rsidRDefault="001E3FBE">
      <w:pPr>
        <w:spacing w:after="200" w:line="336" w:lineRule="auto"/>
        <w:jc w:val="both"/>
      </w:pPr>
      <w:r>
        <w:t>J’ai eu le privilège de travailler au sein d’une fondation portée par une première dame. J’y ai appris que la rigueur dans la séparation des sphères et le désintéressement dans l’action ne sont pas des postures : ce sont des disciplines qui se construisent dans la durée. C’est à cette aune que la Fondation Sénégal Solidaire devra être jugée — non à celle de l’annonce, mais de la pratique.</w:t>
      </w:r>
    </w:p>
    <w:p w14:paraId="0AF5A5BF" w14:textId="77777777" w:rsidR="00082682" w:rsidRDefault="001E3FBE">
      <w:pPr>
        <w:pStyle w:val="Titre1"/>
      </w:pPr>
      <w:r>
        <w:t>IV. Ce que cette fondation devra prouver — et dépasser</w:t>
      </w:r>
    </w:p>
    <w:p w14:paraId="0CE44B6F" w14:textId="77777777" w:rsidR="00082682" w:rsidRDefault="00082682">
      <w:pPr>
        <w:pBdr>
          <w:bottom w:val="single" w:sz="6" w:space="1" w:color="B8963E"/>
        </w:pBdr>
        <w:spacing w:before="60" w:after="180"/>
      </w:pPr>
    </w:p>
    <w:p w14:paraId="2D2E99E6" w14:textId="77777777" w:rsidR="00082682" w:rsidRDefault="001E3FBE">
      <w:pPr>
        <w:spacing w:after="200" w:line="336" w:lineRule="auto"/>
        <w:jc w:val="both"/>
      </w:pPr>
      <w:r>
        <w:t>Trois conditions de crédibilité s’imposent. Premièrement, la séparation stricte entre ressources publiques et ressources privées. Deuxièmement, la transparence financière : rapport annuel accessible, comptes vérifiés, publication obligatoire. Troisièmement — et c’est l’enjeu le plus structurant — la pérennité institutionnelle.</w:t>
      </w:r>
    </w:p>
    <w:p w14:paraId="6FD2C559" w14:textId="77777777" w:rsidR="00082682" w:rsidRDefault="001E3FBE">
      <w:pPr>
        <w:spacing w:after="200" w:line="336" w:lineRule="auto"/>
        <w:jc w:val="both"/>
      </w:pPr>
      <w:r>
        <w:t>Les fondations de premières dames disparaissent avec les régimes qui les ont vus naître. Elles emportent réseaux, expertises et capital social. C’est un gaspillage que le Sénégal ne peut plus se permettre.</w:t>
      </w:r>
    </w:p>
    <w:p w14:paraId="03E9DB66" w14:textId="77777777" w:rsidR="00082682" w:rsidRDefault="001E3FBE">
      <w:pPr>
        <w:spacing w:after="200" w:line="336" w:lineRule="auto"/>
        <w:jc w:val="both"/>
      </w:pPr>
      <w:r>
        <w:t>L’opportunité est historique : doter dès aujourd’hui la Fondation Sénégal Solidaire d’un cadre institutionnel impersonnel. Des statuts stables. Un conseil d’administration à mandats fixes. Une direction exécutive professionnelle. Et une présidence d’honneur assurée par la ou les premières dames en exercice — si elles le souhaitent — alignée sur la durée du mandat présidentiel. La fondation ne disparaît pas. Elle accueille chaque nouvelle présidence et continue.</w:t>
      </w:r>
    </w:p>
    <w:p w14:paraId="3D929978" w14:textId="77777777" w:rsidR="00082682" w:rsidRDefault="001E3FBE">
      <w:pPr>
        <w:spacing w:after="200" w:line="336" w:lineRule="auto"/>
        <w:jc w:val="both"/>
      </w:pPr>
      <w:r>
        <w:t xml:space="preserve">Passer d’une fondation de premières dames à une institution nationale dont les premières dames assurent la présidence : le glissement est subtil, le changement de paradigme est radical. Si le Président </w:t>
      </w:r>
      <w:proofErr w:type="spellStart"/>
      <w:r>
        <w:t>Diomaye</w:t>
      </w:r>
      <w:proofErr w:type="spellEnd"/>
      <w:r>
        <w:t xml:space="preserve"> Faye l’inscrit dans les actes fondateurs, il pose un acte de réforme institutionnelle durable, cohérent avec la rupture promise.</w:t>
      </w:r>
    </w:p>
    <w:p w14:paraId="3C165A06" w14:textId="77777777" w:rsidR="00082682" w:rsidRDefault="001E3FBE">
      <w:pPr>
        <w:pStyle w:val="Titre1"/>
      </w:pPr>
      <w:r>
        <w:t>Une leçon de maturité à inscrire dans le marbre</w:t>
      </w:r>
    </w:p>
    <w:p w14:paraId="40887252" w14:textId="77777777" w:rsidR="00082682" w:rsidRDefault="00082682">
      <w:pPr>
        <w:pBdr>
          <w:bottom w:val="single" w:sz="6" w:space="1" w:color="B8963E"/>
        </w:pBdr>
        <w:spacing w:before="60" w:after="180"/>
      </w:pPr>
    </w:p>
    <w:p w14:paraId="4D967AF8" w14:textId="77777777" w:rsidR="00082682" w:rsidRDefault="001E3FBE">
      <w:pPr>
        <w:spacing w:after="200" w:line="336" w:lineRule="auto"/>
        <w:jc w:val="both"/>
      </w:pPr>
      <w:r>
        <w:t xml:space="preserve">Le Sénégal vient peut-être d’inventer un modèle inédit de gestion institutionnelle de la </w:t>
      </w:r>
      <w:proofErr w:type="spellStart"/>
      <w:r>
        <w:t>coépousie</w:t>
      </w:r>
      <w:proofErr w:type="spellEnd"/>
      <w:r>
        <w:t xml:space="preserve"> à l’échelle présidentielle. Remarquable. Mais l’innovation conjoncturelle ne suffit pas. Ce qui distingue une réforme d’une improvisation, c’est sa capacité à durer.</w:t>
      </w:r>
    </w:p>
    <w:p w14:paraId="20F86B5D" w14:textId="77777777" w:rsidR="00082682" w:rsidRDefault="001E3FBE">
      <w:pPr>
        <w:spacing w:after="200" w:line="336" w:lineRule="auto"/>
        <w:jc w:val="both"/>
      </w:pPr>
      <w:r>
        <w:t>La Fondation Sénégal Solidaire tient entre ses mains quelque chose de rare : une légitimité de naissance, une forme inédite, un contexte favorable. L’occasion de bâtir ce que le Sénégal n’a jamais eu : une institution sociale para-présidentielle qui traverse les régimes, résiste aux alternances et serve durablement les plus vulnérables.</w:t>
      </w:r>
    </w:p>
    <w:p w14:paraId="753B9E82" w14:textId="77777777" w:rsidR="00082682" w:rsidRDefault="001E3FBE">
      <w:pPr>
        <w:spacing w:before="300" w:after="100"/>
        <w:jc w:val="center"/>
      </w:pPr>
      <w:r>
        <w:rPr>
          <w:rFonts w:ascii="Garamond" w:eastAsia="Garamond" w:hAnsi="Garamond" w:cs="Garamond"/>
          <w:b/>
          <w:bCs/>
          <w:i/>
          <w:iCs/>
          <w:color w:val="1B2A4A"/>
          <w:sz w:val="26"/>
          <w:szCs w:val="26"/>
        </w:rPr>
        <w:t>C’est une promesse institutionnelle.</w:t>
      </w:r>
    </w:p>
    <w:p w14:paraId="0B3CC542" w14:textId="77777777" w:rsidR="00082682" w:rsidRDefault="001E3FBE">
      <w:pPr>
        <w:spacing w:after="440"/>
        <w:jc w:val="center"/>
      </w:pPr>
      <w:r>
        <w:rPr>
          <w:rFonts w:ascii="Garamond" w:eastAsia="Garamond" w:hAnsi="Garamond" w:cs="Garamond"/>
          <w:b/>
          <w:bCs/>
          <w:i/>
          <w:iCs/>
          <w:color w:val="B8963E"/>
          <w:sz w:val="26"/>
          <w:szCs w:val="26"/>
        </w:rPr>
        <w:t>Il reste à l’inscrire dans le marbre.</w:t>
      </w:r>
    </w:p>
    <w:p w14:paraId="35683B56" w14:textId="77777777" w:rsidR="00082682" w:rsidRDefault="001E3FBE">
      <w:pPr>
        <w:pBdr>
          <w:top w:val="single" w:sz="8" w:space="4" w:color="B8963E"/>
        </w:pBdr>
        <w:spacing w:after="50"/>
      </w:pPr>
      <w:r>
        <w:rPr>
          <w:rFonts w:ascii="Garamond" w:eastAsia="Garamond" w:hAnsi="Garamond" w:cs="Garamond"/>
          <w:b/>
          <w:bCs/>
          <w:color w:val="1B2A4A"/>
          <w:sz w:val="24"/>
          <w:szCs w:val="24"/>
        </w:rPr>
        <w:t xml:space="preserve">Mamadou </w:t>
      </w:r>
      <w:proofErr w:type="spellStart"/>
      <w:r>
        <w:rPr>
          <w:rFonts w:ascii="Garamond" w:eastAsia="Garamond" w:hAnsi="Garamond" w:cs="Garamond"/>
          <w:b/>
          <w:bCs/>
          <w:color w:val="1B2A4A"/>
          <w:sz w:val="24"/>
          <w:szCs w:val="24"/>
        </w:rPr>
        <w:t>Thiam</w:t>
      </w:r>
      <w:proofErr w:type="spellEnd"/>
    </w:p>
    <w:p w14:paraId="7AB91B38" w14:textId="77777777" w:rsidR="00082682" w:rsidRDefault="001E3FBE">
      <w:pPr>
        <w:spacing w:after="40"/>
      </w:pPr>
      <w:r>
        <w:rPr>
          <w:rFonts w:ascii="Garamond" w:eastAsia="Garamond" w:hAnsi="Garamond" w:cs="Garamond"/>
          <w:i/>
          <w:iCs/>
          <w:color w:val="6B6B6B"/>
          <w:sz w:val="20"/>
          <w:szCs w:val="20"/>
        </w:rPr>
        <w:t>Expert en stratégies, performance et transition</w:t>
      </w:r>
    </w:p>
    <w:p w14:paraId="2A563067" w14:textId="77777777" w:rsidR="00082682" w:rsidRDefault="001E3FBE">
      <w:r>
        <w:rPr>
          <w:rFonts w:ascii="Garamond" w:eastAsia="Garamond" w:hAnsi="Garamond" w:cs="Garamond"/>
          <w:color w:val="B8963E"/>
          <w:sz w:val="18"/>
          <w:szCs w:val="18"/>
        </w:rPr>
        <w:t>mamadouthiam@hotmail.com</w:t>
      </w:r>
    </w:p>
    <w:p w14:paraId="478B990A" w14:textId="77777777" w:rsidR="00082682" w:rsidRDefault="001E3FBE">
      <w:r>
        <w:br w:type="page"/>
      </w:r>
    </w:p>
    <w:p w14:paraId="517AE242" w14:textId="77777777" w:rsidR="00082682" w:rsidRDefault="001E3FBE">
      <w:pPr>
        <w:spacing w:before="200" w:after="60"/>
        <w:jc w:val="center"/>
      </w:pPr>
      <w:r>
        <w:rPr>
          <w:rFonts w:ascii="Garamond" w:eastAsia="Garamond" w:hAnsi="Garamond" w:cs="Garamond"/>
          <w:b/>
          <w:bCs/>
          <w:color w:val="B8963E"/>
          <w:sz w:val="20"/>
          <w:szCs w:val="20"/>
        </w:rPr>
        <w:t>ANNEXE</w:t>
      </w:r>
    </w:p>
    <w:p w14:paraId="7246DEB5" w14:textId="77777777" w:rsidR="00082682" w:rsidRDefault="001E3FBE">
      <w:pPr>
        <w:spacing w:after="40"/>
        <w:jc w:val="center"/>
      </w:pPr>
      <w:r>
        <w:rPr>
          <w:rFonts w:ascii="Garamond" w:eastAsia="Garamond" w:hAnsi="Garamond" w:cs="Garamond"/>
          <w:b/>
          <w:bCs/>
          <w:color w:val="1B2A4A"/>
          <w:sz w:val="34"/>
          <w:szCs w:val="34"/>
        </w:rPr>
        <w:t>Schéma de gouvernance proposé</w:t>
      </w:r>
    </w:p>
    <w:p w14:paraId="23DAB2B4" w14:textId="77777777" w:rsidR="00082682" w:rsidRDefault="001E3FBE">
      <w:pPr>
        <w:spacing w:after="30"/>
        <w:jc w:val="center"/>
      </w:pPr>
      <w:r>
        <w:rPr>
          <w:rFonts w:ascii="Garamond" w:eastAsia="Garamond" w:hAnsi="Garamond" w:cs="Garamond"/>
          <w:i/>
          <w:iCs/>
          <w:color w:val="6B6B6B"/>
        </w:rPr>
        <w:t>Pour une Fondation Sénégal Solidaire pérenne et impersonnelle</w:t>
      </w:r>
    </w:p>
    <w:p w14:paraId="18065AEA" w14:textId="77777777" w:rsidR="00082682" w:rsidRDefault="00082682">
      <w:pPr>
        <w:pBdr>
          <w:bottom w:val="single" w:sz="8" w:space="1" w:color="B8963E"/>
        </w:pBdr>
        <w:spacing w:after="360"/>
        <w:jc w:val="center"/>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93"/>
        <w:gridCol w:w="5000"/>
        <w:gridCol w:w="2193"/>
      </w:tblGrid>
      <w:tr w:rsidR="00082682" w14:paraId="07D8B35C" w14:textId="77777777">
        <w:tblPrEx>
          <w:tblCellMar>
            <w:top w:w="0" w:type="dxa"/>
            <w:bottom w:w="0" w:type="dxa"/>
          </w:tblCellMar>
        </w:tblPrEx>
        <w:tc>
          <w:tcPr>
            <w:tcW w:w="2193" w:type="dxa"/>
            <w:shd w:val="clear" w:color="auto" w:fill="FFFFFF"/>
          </w:tcPr>
          <w:p w14:paraId="46DA8D56" w14:textId="77777777" w:rsidR="00082682" w:rsidRDefault="00082682"/>
        </w:tc>
        <w:tc>
          <w:tcPr>
            <w:tcW w:w="5000" w:type="dxa"/>
            <w:tcBorders>
              <w:top w:val="single" w:sz="6" w:space="0" w:color="B8963E"/>
              <w:left w:val="single" w:sz="6" w:space="0" w:color="B8963E"/>
              <w:bottom w:val="single" w:sz="6" w:space="0" w:color="B8963E"/>
              <w:right w:val="single" w:sz="6" w:space="0" w:color="B8963E"/>
            </w:tcBorders>
            <w:shd w:val="clear" w:color="auto" w:fill="B8963E"/>
            <w:tcMar>
              <w:top w:w="120" w:type="dxa"/>
              <w:left w:w="160" w:type="dxa"/>
              <w:bottom w:w="120" w:type="dxa"/>
              <w:right w:w="160" w:type="dxa"/>
            </w:tcMar>
            <w:vAlign w:val="center"/>
          </w:tcPr>
          <w:p w14:paraId="496CFD46" w14:textId="77777777" w:rsidR="00082682" w:rsidRDefault="001E3FBE">
            <w:pPr>
              <w:spacing w:after="20"/>
              <w:jc w:val="center"/>
            </w:pPr>
            <w:r>
              <w:rPr>
                <w:rFonts w:ascii="Garamond" w:eastAsia="Garamond" w:hAnsi="Garamond" w:cs="Garamond"/>
                <w:b/>
                <w:bCs/>
                <w:color w:val="1B2A4A"/>
                <w:sz w:val="21"/>
                <w:szCs w:val="21"/>
              </w:rPr>
              <w:t>★  PRÉSIDENCE D’HONNEUR</w:t>
            </w:r>
          </w:p>
          <w:p w14:paraId="753D48E2" w14:textId="77777777" w:rsidR="00082682" w:rsidRDefault="001E3FBE">
            <w:pPr>
              <w:spacing w:before="20" w:after="20"/>
              <w:jc w:val="center"/>
            </w:pPr>
            <w:r>
              <w:rPr>
                <w:rFonts w:ascii="Garamond" w:eastAsia="Garamond" w:hAnsi="Garamond" w:cs="Garamond"/>
                <w:color w:val="1B2A4A"/>
                <w:sz w:val="18"/>
                <w:szCs w:val="18"/>
              </w:rPr>
              <w:t>La ou les Premières Dames en exercice</w:t>
            </w:r>
          </w:p>
          <w:p w14:paraId="4B21F9DE" w14:textId="77777777" w:rsidR="00082682" w:rsidRDefault="001E3FBE">
            <w:pPr>
              <w:spacing w:before="20" w:after="20"/>
              <w:jc w:val="center"/>
            </w:pPr>
            <w:r>
              <w:rPr>
                <w:rFonts w:ascii="Garamond" w:eastAsia="Garamond" w:hAnsi="Garamond" w:cs="Garamond"/>
                <w:color w:val="1B2A4A"/>
                <w:sz w:val="17"/>
                <w:szCs w:val="17"/>
              </w:rPr>
              <w:t>(si elles le souhaitent)</w:t>
            </w:r>
          </w:p>
          <w:p w14:paraId="717B858C" w14:textId="77777777" w:rsidR="00082682" w:rsidRDefault="001E3FBE">
            <w:pPr>
              <w:spacing w:before="20" w:after="20"/>
              <w:jc w:val="center"/>
            </w:pPr>
            <w:r>
              <w:rPr>
                <w:rFonts w:ascii="Garamond" w:eastAsia="Garamond" w:hAnsi="Garamond" w:cs="Garamond"/>
                <w:color w:val="1B2A4A"/>
                <w:sz w:val="16"/>
                <w:szCs w:val="16"/>
              </w:rPr>
              <w:t>Mandat aligné sur le mandat présidentiel</w:t>
            </w:r>
          </w:p>
        </w:tc>
        <w:tc>
          <w:tcPr>
            <w:tcW w:w="2193" w:type="dxa"/>
            <w:shd w:val="clear" w:color="auto" w:fill="FFFFFF"/>
          </w:tcPr>
          <w:p w14:paraId="2ABF4C23" w14:textId="77777777" w:rsidR="00082682" w:rsidRDefault="00082682"/>
        </w:tc>
      </w:tr>
    </w:tbl>
    <w:p w14:paraId="1F657F54" w14:textId="77777777" w:rsidR="00082682" w:rsidRDefault="001E3FBE">
      <w:pPr>
        <w:jc w:val="center"/>
      </w:pPr>
      <w:r>
        <w:rPr>
          <w:rFonts w:ascii="Arial" w:eastAsia="Arial" w:hAnsi="Arial" w:cs="Arial"/>
          <w:b/>
          <w:bCs/>
          <w:color w:val="B8963E"/>
          <w:sz w:val="28"/>
          <w:szCs w:val="28"/>
        </w:rPr>
        <w: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3"/>
        <w:gridCol w:w="6800"/>
        <w:gridCol w:w="1293"/>
      </w:tblGrid>
      <w:tr w:rsidR="00082682" w14:paraId="273BC4F7" w14:textId="77777777">
        <w:tblPrEx>
          <w:tblCellMar>
            <w:top w:w="0" w:type="dxa"/>
            <w:bottom w:w="0" w:type="dxa"/>
          </w:tblCellMar>
        </w:tblPrEx>
        <w:tc>
          <w:tcPr>
            <w:tcW w:w="1293" w:type="dxa"/>
            <w:shd w:val="clear" w:color="auto" w:fill="FFFFFF"/>
          </w:tcPr>
          <w:p w14:paraId="13D2881E" w14:textId="77777777" w:rsidR="00082682" w:rsidRDefault="00082682"/>
        </w:tc>
        <w:tc>
          <w:tcPr>
            <w:tcW w:w="6800" w:type="dxa"/>
            <w:tcBorders>
              <w:top w:val="single" w:sz="6" w:space="0" w:color="B8963E"/>
              <w:left w:val="single" w:sz="6" w:space="0" w:color="B8963E"/>
              <w:bottom w:val="single" w:sz="6" w:space="0" w:color="B8963E"/>
              <w:right w:val="single" w:sz="6" w:space="0" w:color="B8963E"/>
            </w:tcBorders>
            <w:shd w:val="clear" w:color="auto" w:fill="1B2A4A"/>
            <w:tcMar>
              <w:top w:w="120" w:type="dxa"/>
              <w:left w:w="160" w:type="dxa"/>
              <w:bottom w:w="120" w:type="dxa"/>
              <w:right w:w="160" w:type="dxa"/>
            </w:tcMar>
            <w:vAlign w:val="center"/>
          </w:tcPr>
          <w:p w14:paraId="0EBCAF22" w14:textId="77777777" w:rsidR="00082682" w:rsidRDefault="001E3FBE">
            <w:pPr>
              <w:spacing w:after="20"/>
              <w:jc w:val="center"/>
            </w:pPr>
            <w:r>
              <w:rPr>
                <w:rFonts w:ascii="Garamond" w:eastAsia="Garamond" w:hAnsi="Garamond" w:cs="Garamond"/>
                <w:b/>
                <w:bCs/>
                <w:color w:val="FFFFFF"/>
                <w:sz w:val="21"/>
                <w:szCs w:val="21"/>
              </w:rPr>
              <w:t>CONSEIL D’ADMINISTRATION</w:t>
            </w:r>
          </w:p>
          <w:p w14:paraId="779762B8" w14:textId="77777777" w:rsidR="00082682" w:rsidRDefault="001E3FBE">
            <w:pPr>
              <w:spacing w:before="20" w:after="20"/>
              <w:jc w:val="center"/>
            </w:pPr>
            <w:r>
              <w:rPr>
                <w:rFonts w:ascii="Garamond" w:eastAsia="Garamond" w:hAnsi="Garamond" w:cs="Garamond"/>
                <w:color w:val="FFFFFF"/>
                <w:sz w:val="18"/>
                <w:szCs w:val="18"/>
              </w:rPr>
              <w:t>9 membres indépendants — Mandats de 4 ans (renouvelable 1 fois)</w:t>
            </w:r>
          </w:p>
          <w:p w14:paraId="05B335F7" w14:textId="77777777" w:rsidR="00082682" w:rsidRDefault="001E3FBE">
            <w:pPr>
              <w:spacing w:before="20" w:after="20"/>
              <w:jc w:val="center"/>
            </w:pPr>
            <w:r>
              <w:rPr>
                <w:rFonts w:ascii="Garamond" w:eastAsia="Garamond" w:hAnsi="Garamond" w:cs="Garamond"/>
                <w:color w:val="FFFFFF"/>
                <w:sz w:val="16"/>
                <w:szCs w:val="16"/>
              </w:rPr>
              <w:t>3 personnalités civiles  |  2 société civile  |  2 experts  |  2 bénéficiaires</w:t>
            </w:r>
          </w:p>
          <w:p w14:paraId="472A07A4" w14:textId="77777777" w:rsidR="00082682" w:rsidRDefault="001E3FBE">
            <w:pPr>
              <w:spacing w:before="20" w:after="20"/>
              <w:jc w:val="center"/>
            </w:pPr>
            <w:r>
              <w:rPr>
                <w:rFonts w:ascii="Garamond" w:eastAsia="Garamond" w:hAnsi="Garamond" w:cs="Garamond"/>
                <w:color w:val="FFFFFF"/>
                <w:sz w:val="16"/>
                <w:szCs w:val="16"/>
              </w:rPr>
              <w:t>Orientation stratégique • Budget • Nomination du Directeur Exécutif</w:t>
            </w:r>
          </w:p>
        </w:tc>
        <w:tc>
          <w:tcPr>
            <w:tcW w:w="1293" w:type="dxa"/>
            <w:shd w:val="clear" w:color="auto" w:fill="FFFFFF"/>
          </w:tcPr>
          <w:p w14:paraId="32740049" w14:textId="77777777" w:rsidR="00082682" w:rsidRDefault="00082682"/>
        </w:tc>
      </w:tr>
    </w:tbl>
    <w:p w14:paraId="3B000668" w14:textId="77777777" w:rsidR="00082682" w:rsidRDefault="001E3FBE">
      <w:pPr>
        <w:jc w:val="center"/>
      </w:pPr>
      <w:r>
        <w:rPr>
          <w:rFonts w:ascii="Arial" w:eastAsia="Arial" w:hAnsi="Arial" w:cs="Arial"/>
          <w:b/>
          <w:bCs/>
          <w:color w:val="B8963E"/>
          <w:sz w:val="28"/>
          <w:szCs w:val="28"/>
        </w:rPr>
        <w:t>▼</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2"/>
        <w:gridCol w:w="200"/>
        <w:gridCol w:w="3062"/>
        <w:gridCol w:w="200"/>
        <w:gridCol w:w="2862"/>
      </w:tblGrid>
      <w:tr w:rsidR="00082682" w14:paraId="0BF840CB" w14:textId="77777777">
        <w:tblPrEx>
          <w:tblCellMar>
            <w:top w:w="0" w:type="dxa"/>
            <w:bottom w:w="0" w:type="dxa"/>
          </w:tblCellMar>
        </w:tblPrEx>
        <w:tc>
          <w:tcPr>
            <w:tcW w:w="3062" w:type="dxa"/>
            <w:tcBorders>
              <w:top w:val="single" w:sz="6" w:space="0" w:color="B8963E"/>
              <w:left w:val="single" w:sz="6" w:space="0" w:color="B8963E"/>
              <w:bottom w:val="single" w:sz="6" w:space="0" w:color="B8963E"/>
              <w:right w:val="single" w:sz="6" w:space="0" w:color="B8963E"/>
            </w:tcBorders>
            <w:shd w:val="clear" w:color="auto" w:fill="1A5276"/>
            <w:tcMar>
              <w:top w:w="120" w:type="dxa"/>
              <w:left w:w="160" w:type="dxa"/>
              <w:bottom w:w="120" w:type="dxa"/>
              <w:right w:w="160" w:type="dxa"/>
            </w:tcMar>
            <w:vAlign w:val="center"/>
          </w:tcPr>
          <w:p w14:paraId="0B0292FC" w14:textId="77777777" w:rsidR="00082682" w:rsidRDefault="001E3FBE">
            <w:pPr>
              <w:spacing w:after="20"/>
              <w:jc w:val="center"/>
            </w:pPr>
            <w:r>
              <w:rPr>
                <w:rFonts w:ascii="Garamond" w:eastAsia="Garamond" w:hAnsi="Garamond" w:cs="Garamond"/>
                <w:b/>
                <w:bCs/>
                <w:color w:val="FFFFFF"/>
                <w:sz w:val="19"/>
                <w:szCs w:val="19"/>
              </w:rPr>
              <w:t>DIRECTION EXÉCUTIVE</w:t>
            </w:r>
          </w:p>
          <w:p w14:paraId="7CCD80CB" w14:textId="77777777" w:rsidR="00082682" w:rsidRDefault="001E3FBE">
            <w:pPr>
              <w:spacing w:before="20" w:after="20"/>
              <w:jc w:val="center"/>
            </w:pPr>
            <w:r>
              <w:rPr>
                <w:rFonts w:ascii="Garamond" w:eastAsia="Garamond" w:hAnsi="Garamond" w:cs="Garamond"/>
                <w:color w:val="FFFFFF"/>
                <w:sz w:val="17"/>
                <w:szCs w:val="17"/>
              </w:rPr>
              <w:t>Directeur Exécutif professionnel</w:t>
            </w:r>
          </w:p>
          <w:p w14:paraId="72D2F53D" w14:textId="77777777" w:rsidR="00082682" w:rsidRDefault="001E3FBE">
            <w:pPr>
              <w:spacing w:before="20" w:after="20"/>
              <w:jc w:val="center"/>
            </w:pPr>
            <w:r>
              <w:rPr>
                <w:rFonts w:ascii="Garamond" w:eastAsia="Garamond" w:hAnsi="Garamond" w:cs="Garamond"/>
                <w:color w:val="FFFFFF"/>
                <w:sz w:val="16"/>
                <w:szCs w:val="16"/>
              </w:rPr>
              <w:t>Recruté sur appel à candidatures</w:t>
            </w:r>
          </w:p>
          <w:p w14:paraId="22170AFD" w14:textId="77777777" w:rsidR="00082682" w:rsidRDefault="001E3FBE">
            <w:pPr>
              <w:spacing w:before="20" w:after="20"/>
              <w:jc w:val="center"/>
            </w:pPr>
            <w:r>
              <w:rPr>
                <w:rFonts w:ascii="Garamond" w:eastAsia="Garamond" w:hAnsi="Garamond" w:cs="Garamond"/>
                <w:color w:val="FFFFFF"/>
                <w:sz w:val="16"/>
                <w:szCs w:val="16"/>
              </w:rPr>
              <w:t>Mandat 3 ans • renouvelable 2 fois</w:t>
            </w:r>
          </w:p>
          <w:p w14:paraId="690D600D" w14:textId="77777777" w:rsidR="00082682" w:rsidRDefault="001E3FBE">
            <w:pPr>
              <w:spacing w:before="20" w:after="20"/>
              <w:jc w:val="center"/>
            </w:pPr>
            <w:r>
              <w:rPr>
                <w:rFonts w:ascii="Garamond" w:eastAsia="Garamond" w:hAnsi="Garamond" w:cs="Garamond"/>
                <w:color w:val="FFFFFF"/>
                <w:sz w:val="16"/>
                <w:szCs w:val="16"/>
              </w:rPr>
              <w:t>Gestion opérationnelle</w:t>
            </w:r>
          </w:p>
        </w:tc>
        <w:tc>
          <w:tcPr>
            <w:tcW w:w="200" w:type="dxa"/>
            <w:shd w:val="clear" w:color="auto" w:fill="FFFFFF"/>
          </w:tcPr>
          <w:p w14:paraId="412AD240" w14:textId="77777777" w:rsidR="00082682" w:rsidRDefault="00082682"/>
        </w:tc>
        <w:tc>
          <w:tcPr>
            <w:tcW w:w="3062" w:type="dxa"/>
            <w:tcBorders>
              <w:top w:val="single" w:sz="6" w:space="0" w:color="B8963E"/>
              <w:left w:val="single" w:sz="6" w:space="0" w:color="B8963E"/>
              <w:bottom w:val="single" w:sz="6" w:space="0" w:color="B8963E"/>
              <w:right w:val="single" w:sz="6" w:space="0" w:color="B8963E"/>
            </w:tcBorders>
            <w:shd w:val="clear" w:color="auto" w:fill="1A5276"/>
            <w:tcMar>
              <w:top w:w="120" w:type="dxa"/>
              <w:left w:w="160" w:type="dxa"/>
              <w:bottom w:w="120" w:type="dxa"/>
              <w:right w:w="160" w:type="dxa"/>
            </w:tcMar>
            <w:vAlign w:val="center"/>
          </w:tcPr>
          <w:p w14:paraId="22D0C0EF" w14:textId="77777777" w:rsidR="00082682" w:rsidRDefault="001E3FBE">
            <w:pPr>
              <w:spacing w:after="20"/>
              <w:jc w:val="center"/>
            </w:pPr>
            <w:r>
              <w:rPr>
                <w:rFonts w:ascii="Garamond" w:eastAsia="Garamond" w:hAnsi="Garamond" w:cs="Garamond"/>
                <w:b/>
                <w:bCs/>
                <w:color w:val="FFFFFF"/>
                <w:sz w:val="19"/>
                <w:szCs w:val="19"/>
              </w:rPr>
              <w:t>COMITÉ D’AUDIT</w:t>
            </w:r>
          </w:p>
          <w:p w14:paraId="3D8668F1" w14:textId="77777777" w:rsidR="00082682" w:rsidRDefault="001E3FBE">
            <w:pPr>
              <w:spacing w:before="20" w:after="20"/>
              <w:jc w:val="center"/>
            </w:pPr>
            <w:r>
              <w:rPr>
                <w:rFonts w:ascii="Garamond" w:eastAsia="Garamond" w:hAnsi="Garamond" w:cs="Garamond"/>
                <w:color w:val="FFFFFF"/>
                <w:sz w:val="17"/>
                <w:szCs w:val="17"/>
              </w:rPr>
              <w:t>3 membres indépendants</w:t>
            </w:r>
          </w:p>
          <w:p w14:paraId="6874B067" w14:textId="77777777" w:rsidR="00082682" w:rsidRDefault="001E3FBE">
            <w:pPr>
              <w:spacing w:before="20" w:after="20"/>
              <w:jc w:val="center"/>
            </w:pPr>
            <w:r>
              <w:rPr>
                <w:rFonts w:ascii="Garamond" w:eastAsia="Garamond" w:hAnsi="Garamond" w:cs="Garamond"/>
                <w:color w:val="FFFFFF"/>
                <w:sz w:val="16"/>
                <w:szCs w:val="16"/>
              </w:rPr>
              <w:t>dont 1 expert-comptable agréé</w:t>
            </w:r>
          </w:p>
          <w:p w14:paraId="5FA04ADD" w14:textId="77777777" w:rsidR="00082682" w:rsidRDefault="001E3FBE">
            <w:pPr>
              <w:spacing w:before="20" w:after="20"/>
              <w:jc w:val="center"/>
            </w:pPr>
            <w:r>
              <w:rPr>
                <w:rFonts w:ascii="Garamond" w:eastAsia="Garamond" w:hAnsi="Garamond" w:cs="Garamond"/>
                <w:color w:val="FFFFFF"/>
                <w:sz w:val="16"/>
                <w:szCs w:val="16"/>
              </w:rPr>
              <w:t>Mandat 3 ans • renouvelable 1 fois</w:t>
            </w:r>
          </w:p>
          <w:p w14:paraId="2364EC42" w14:textId="77777777" w:rsidR="00082682" w:rsidRDefault="001E3FBE">
            <w:pPr>
              <w:spacing w:before="20" w:after="20"/>
              <w:jc w:val="center"/>
            </w:pPr>
            <w:r>
              <w:rPr>
                <w:rFonts w:ascii="Garamond" w:eastAsia="Garamond" w:hAnsi="Garamond" w:cs="Garamond"/>
                <w:color w:val="FFFFFF"/>
                <w:sz w:val="16"/>
                <w:szCs w:val="16"/>
              </w:rPr>
              <w:t>Vérification &amp; publication annuelle</w:t>
            </w:r>
          </w:p>
        </w:tc>
        <w:tc>
          <w:tcPr>
            <w:tcW w:w="200" w:type="dxa"/>
            <w:shd w:val="clear" w:color="auto" w:fill="FFFFFF"/>
          </w:tcPr>
          <w:p w14:paraId="71C86FFF" w14:textId="77777777" w:rsidR="00082682" w:rsidRDefault="00082682"/>
        </w:tc>
        <w:tc>
          <w:tcPr>
            <w:tcW w:w="2862" w:type="dxa"/>
            <w:tcBorders>
              <w:top w:val="single" w:sz="6" w:space="0" w:color="B8963E"/>
              <w:left w:val="single" w:sz="6" w:space="0" w:color="B8963E"/>
              <w:bottom w:val="single" w:sz="6" w:space="0" w:color="B8963E"/>
              <w:right w:val="single" w:sz="6" w:space="0" w:color="B8963E"/>
            </w:tcBorders>
            <w:shd w:val="clear" w:color="auto" w:fill="1A5276"/>
            <w:tcMar>
              <w:top w:w="120" w:type="dxa"/>
              <w:left w:w="160" w:type="dxa"/>
              <w:bottom w:w="120" w:type="dxa"/>
              <w:right w:w="160" w:type="dxa"/>
            </w:tcMar>
            <w:vAlign w:val="center"/>
          </w:tcPr>
          <w:p w14:paraId="317D898A" w14:textId="77777777" w:rsidR="00082682" w:rsidRDefault="001E3FBE">
            <w:pPr>
              <w:spacing w:after="20"/>
              <w:jc w:val="center"/>
            </w:pPr>
            <w:r>
              <w:rPr>
                <w:rFonts w:ascii="Garamond" w:eastAsia="Garamond" w:hAnsi="Garamond" w:cs="Garamond"/>
                <w:b/>
                <w:bCs/>
                <w:color w:val="FFFFFF"/>
                <w:sz w:val="19"/>
                <w:szCs w:val="19"/>
              </w:rPr>
              <w:t>CONSEIL SCIENTIFIQUE</w:t>
            </w:r>
          </w:p>
          <w:p w14:paraId="38124F5F" w14:textId="77777777" w:rsidR="00082682" w:rsidRDefault="001E3FBE">
            <w:pPr>
              <w:spacing w:before="20" w:after="20"/>
              <w:jc w:val="center"/>
            </w:pPr>
            <w:r>
              <w:rPr>
                <w:rFonts w:ascii="Garamond" w:eastAsia="Garamond" w:hAnsi="Garamond" w:cs="Garamond"/>
                <w:color w:val="FFFFFF"/>
                <w:sz w:val="17"/>
                <w:szCs w:val="17"/>
              </w:rPr>
              <w:t>5 personnalités</w:t>
            </w:r>
          </w:p>
          <w:p w14:paraId="317BB9FE" w14:textId="77777777" w:rsidR="00082682" w:rsidRDefault="001E3FBE">
            <w:pPr>
              <w:spacing w:before="20" w:after="20"/>
              <w:jc w:val="center"/>
            </w:pPr>
            <w:r>
              <w:rPr>
                <w:rFonts w:ascii="Garamond" w:eastAsia="Garamond" w:hAnsi="Garamond" w:cs="Garamond"/>
                <w:color w:val="FFFFFF"/>
                <w:sz w:val="16"/>
                <w:szCs w:val="16"/>
              </w:rPr>
              <w:t>académiques, religieuses, civiles</w:t>
            </w:r>
          </w:p>
          <w:p w14:paraId="729B0DE0" w14:textId="77777777" w:rsidR="00082682" w:rsidRDefault="001E3FBE">
            <w:pPr>
              <w:spacing w:before="20" w:after="20"/>
              <w:jc w:val="center"/>
            </w:pPr>
            <w:r>
              <w:rPr>
                <w:rFonts w:ascii="Garamond" w:eastAsia="Garamond" w:hAnsi="Garamond" w:cs="Garamond"/>
                <w:color w:val="FFFFFF"/>
                <w:sz w:val="16"/>
                <w:szCs w:val="16"/>
              </w:rPr>
              <w:t>Mandat 5 ans • renouvelable 1 fois</w:t>
            </w:r>
          </w:p>
          <w:p w14:paraId="41704AF4" w14:textId="77777777" w:rsidR="00082682" w:rsidRDefault="001E3FBE">
            <w:pPr>
              <w:spacing w:before="20" w:after="20"/>
              <w:jc w:val="center"/>
            </w:pPr>
            <w:r>
              <w:rPr>
                <w:rFonts w:ascii="Garamond" w:eastAsia="Garamond" w:hAnsi="Garamond" w:cs="Garamond"/>
                <w:color w:val="FFFFFF"/>
                <w:sz w:val="16"/>
                <w:szCs w:val="16"/>
              </w:rPr>
              <w:t>Avis consultatif &amp; éthique</w:t>
            </w:r>
          </w:p>
        </w:tc>
      </w:tr>
    </w:tbl>
    <w:p w14:paraId="4DDA7088" w14:textId="77777777" w:rsidR="00082682" w:rsidRDefault="00082682">
      <w:pPr>
        <w:spacing w:before="240"/>
      </w:pPr>
    </w:p>
    <w:p w14:paraId="501BE181" w14:textId="77777777" w:rsidR="00082682" w:rsidRDefault="001E3FBE">
      <w:pPr>
        <w:spacing w:after="280"/>
        <w:jc w:val="center"/>
      </w:pPr>
      <w:r>
        <w:rPr>
          <w:rFonts w:ascii="Arial" w:eastAsia="Arial" w:hAnsi="Arial" w:cs="Arial"/>
          <w:color w:val="B8963E"/>
          <w:sz w:val="18"/>
          <w:szCs w:val="18"/>
        </w:rPr>
        <w:t xml:space="preserve">■ </w:t>
      </w:r>
      <w:r>
        <w:rPr>
          <w:rFonts w:ascii="Garamond" w:eastAsia="Garamond" w:hAnsi="Garamond" w:cs="Garamond"/>
          <w:color w:val="6B6B6B"/>
          <w:sz w:val="18"/>
          <w:szCs w:val="18"/>
        </w:rPr>
        <w:t xml:space="preserve">Présidence d’honneur  </w:t>
      </w:r>
      <w:r>
        <w:rPr>
          <w:rFonts w:ascii="Arial" w:eastAsia="Arial" w:hAnsi="Arial" w:cs="Arial"/>
          <w:color w:val="1B2A4A"/>
          <w:sz w:val="18"/>
          <w:szCs w:val="18"/>
        </w:rPr>
        <w:t xml:space="preserve">■ </w:t>
      </w:r>
      <w:r>
        <w:rPr>
          <w:rFonts w:ascii="Garamond" w:eastAsia="Garamond" w:hAnsi="Garamond" w:cs="Garamond"/>
          <w:color w:val="6B6B6B"/>
          <w:sz w:val="18"/>
          <w:szCs w:val="18"/>
        </w:rPr>
        <w:t xml:space="preserve">Conseil d’Administration  </w:t>
      </w:r>
      <w:r>
        <w:rPr>
          <w:rFonts w:ascii="Arial" w:eastAsia="Arial" w:hAnsi="Arial" w:cs="Arial"/>
          <w:color w:val="1A5276"/>
          <w:sz w:val="18"/>
          <w:szCs w:val="18"/>
        </w:rPr>
        <w:t xml:space="preserve">■ </w:t>
      </w:r>
      <w:r>
        <w:rPr>
          <w:rFonts w:ascii="Garamond" w:eastAsia="Garamond" w:hAnsi="Garamond" w:cs="Garamond"/>
          <w:color w:val="6B6B6B"/>
          <w:sz w:val="18"/>
          <w:szCs w:val="18"/>
        </w:rPr>
        <w:t>Organes exécutifs et de contrôle</w:t>
      </w:r>
    </w:p>
    <w:p w14:paraId="58A6F25F" w14:textId="77777777" w:rsidR="00082682" w:rsidRDefault="001E3FBE">
      <w:pPr>
        <w:pStyle w:val="Titre2"/>
      </w:pPr>
      <w:r>
        <w:t>Mandats et renouvellements</w:t>
      </w:r>
    </w:p>
    <w:p w14:paraId="17ACFE8E" w14:textId="77777777" w:rsidR="00082682" w:rsidRDefault="00082682">
      <w:pPr>
        <w:pBdr>
          <w:bottom w:val="single" w:sz="6" w:space="1" w:color="B8963E"/>
        </w:pBdr>
        <w:spacing w:before="60" w:after="180"/>
      </w:pPr>
    </w:p>
    <w:p w14:paraId="62AE5178" w14:textId="77777777" w:rsidR="00082682" w:rsidRDefault="00082682">
      <w:pPr>
        <w:spacing w:before="60" w:after="60"/>
      </w:pPr>
    </w:p>
    <w:tbl>
      <w:tblPr>
        <w:tblW w:w="93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57"/>
        <w:gridCol w:w="2334"/>
        <w:gridCol w:w="1521"/>
        <w:gridCol w:w="3574"/>
      </w:tblGrid>
      <w:tr w:rsidR="00082682" w14:paraId="68D12D53" w14:textId="77777777">
        <w:tblPrEx>
          <w:tblCellMar>
            <w:top w:w="0" w:type="dxa"/>
            <w:bottom w:w="0" w:type="dxa"/>
          </w:tblCellMar>
        </w:tblPrEx>
        <w:trPr>
          <w:tblHeader/>
        </w:trPr>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54785829" w14:textId="77777777" w:rsidR="00082682" w:rsidRDefault="001E3FBE">
            <w:pPr>
              <w:spacing w:before="30" w:after="30"/>
              <w:jc w:val="center"/>
            </w:pPr>
            <w:r>
              <w:rPr>
                <w:rFonts w:ascii="Garamond" w:eastAsia="Garamond" w:hAnsi="Garamond" w:cs="Garamond"/>
                <w:b/>
                <w:bCs/>
                <w:color w:val="FFFFFF"/>
                <w:sz w:val="20"/>
                <w:szCs w:val="20"/>
              </w:rPr>
              <w:t>Instance</w:t>
            </w:r>
          </w:p>
        </w:tc>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27DB087E" w14:textId="77777777" w:rsidR="00082682" w:rsidRDefault="001E3FBE">
            <w:pPr>
              <w:spacing w:before="30" w:after="30"/>
              <w:jc w:val="center"/>
            </w:pPr>
            <w:r>
              <w:rPr>
                <w:rFonts w:ascii="Garamond" w:eastAsia="Garamond" w:hAnsi="Garamond" w:cs="Garamond"/>
                <w:b/>
                <w:bCs/>
                <w:color w:val="FFFFFF"/>
                <w:sz w:val="20"/>
                <w:szCs w:val="20"/>
              </w:rPr>
              <w:t>Durée du mandat</w:t>
            </w:r>
          </w:p>
        </w:tc>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18E19D52" w14:textId="77777777" w:rsidR="00082682" w:rsidRDefault="001E3FBE">
            <w:pPr>
              <w:spacing w:before="30" w:after="30"/>
              <w:jc w:val="center"/>
            </w:pPr>
            <w:r>
              <w:rPr>
                <w:rFonts w:ascii="Garamond" w:eastAsia="Garamond" w:hAnsi="Garamond" w:cs="Garamond"/>
                <w:b/>
                <w:bCs/>
                <w:color w:val="FFFFFF"/>
                <w:sz w:val="20"/>
                <w:szCs w:val="20"/>
              </w:rPr>
              <w:t>Renouvelable</w:t>
            </w:r>
          </w:p>
        </w:tc>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225D1A93" w14:textId="77777777" w:rsidR="00082682" w:rsidRDefault="001E3FBE">
            <w:pPr>
              <w:spacing w:before="30" w:after="30"/>
              <w:jc w:val="center"/>
            </w:pPr>
            <w:r>
              <w:rPr>
                <w:rFonts w:ascii="Garamond" w:eastAsia="Garamond" w:hAnsi="Garamond" w:cs="Garamond"/>
                <w:b/>
                <w:bCs/>
                <w:color w:val="FFFFFF"/>
                <w:sz w:val="20"/>
                <w:szCs w:val="20"/>
              </w:rPr>
              <w:t>Mode de désignation</w:t>
            </w:r>
          </w:p>
        </w:tc>
      </w:tr>
      <w:tr w:rsidR="00082682" w14:paraId="584B4EBE"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3BC4C4A2" w14:textId="77777777" w:rsidR="00082682" w:rsidRDefault="001E3FBE">
            <w:pPr>
              <w:spacing w:before="30" w:after="30"/>
            </w:pPr>
            <w:r>
              <w:rPr>
                <w:rFonts w:ascii="Garamond" w:eastAsia="Garamond" w:hAnsi="Garamond" w:cs="Garamond"/>
                <w:b/>
                <w:bCs/>
                <w:color w:val="1B2A4A"/>
                <w:sz w:val="19"/>
                <w:szCs w:val="19"/>
              </w:rPr>
              <w:t>Présidence d’honneur</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06B861E2" w14:textId="77777777" w:rsidR="00082682" w:rsidRDefault="001E3FBE">
            <w:pPr>
              <w:spacing w:before="30" w:after="30"/>
              <w:jc w:val="center"/>
            </w:pPr>
            <w:r>
              <w:rPr>
                <w:rFonts w:ascii="Garamond" w:eastAsia="Garamond" w:hAnsi="Garamond" w:cs="Garamond"/>
                <w:color w:val="1B2A4A"/>
                <w:sz w:val="19"/>
                <w:szCs w:val="19"/>
              </w:rPr>
              <w:t>Durée du mandat présidentiel</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6A8FC536" w14:textId="77777777" w:rsidR="00082682" w:rsidRDefault="001E3FBE">
            <w:pPr>
              <w:spacing w:before="30" w:after="30"/>
              <w:jc w:val="center"/>
            </w:pPr>
            <w:r>
              <w:rPr>
                <w:rFonts w:ascii="Garamond" w:eastAsia="Garamond" w:hAnsi="Garamond" w:cs="Garamond"/>
                <w:color w:val="1B2A4A"/>
                <w:sz w:val="19"/>
                <w:szCs w:val="19"/>
              </w:rPr>
              <w:t>Oui, si réélection</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288D859B" w14:textId="77777777" w:rsidR="00082682" w:rsidRDefault="001E3FBE">
            <w:pPr>
              <w:spacing w:before="30" w:after="30"/>
            </w:pPr>
            <w:r>
              <w:rPr>
                <w:rFonts w:ascii="Garamond" w:eastAsia="Garamond" w:hAnsi="Garamond" w:cs="Garamond"/>
                <w:color w:val="1B2A4A"/>
                <w:sz w:val="19"/>
                <w:szCs w:val="19"/>
              </w:rPr>
              <w:t>De droit, sur acceptation écrite</w:t>
            </w:r>
          </w:p>
        </w:tc>
      </w:tr>
      <w:tr w:rsidR="00082682" w14:paraId="4FD45C28"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5C18BB25" w14:textId="77777777" w:rsidR="00082682" w:rsidRDefault="001E3FBE">
            <w:pPr>
              <w:spacing w:before="30" w:after="30"/>
            </w:pPr>
            <w:r>
              <w:rPr>
                <w:rFonts w:ascii="Garamond" w:eastAsia="Garamond" w:hAnsi="Garamond" w:cs="Garamond"/>
                <w:b/>
                <w:bCs/>
                <w:color w:val="1B2A4A"/>
                <w:sz w:val="19"/>
                <w:szCs w:val="19"/>
              </w:rPr>
              <w:t>Membres du CA</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3BD05867" w14:textId="77777777" w:rsidR="00082682" w:rsidRDefault="001E3FBE">
            <w:pPr>
              <w:spacing w:before="30" w:after="30"/>
              <w:jc w:val="center"/>
            </w:pPr>
            <w:r>
              <w:rPr>
                <w:rFonts w:ascii="Garamond" w:eastAsia="Garamond" w:hAnsi="Garamond" w:cs="Garamond"/>
                <w:color w:val="1B2A4A"/>
                <w:sz w:val="19"/>
                <w:szCs w:val="19"/>
              </w:rPr>
              <w:t>4 ans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42DC38B7" w14:textId="77777777" w:rsidR="00082682" w:rsidRDefault="001E3FBE">
            <w:pPr>
              <w:spacing w:before="30" w:after="30"/>
              <w:jc w:val="center"/>
            </w:pPr>
            <w:r>
              <w:rPr>
                <w:rFonts w:ascii="Garamond" w:eastAsia="Garamond" w:hAnsi="Garamond" w:cs="Garamond"/>
                <w:color w:val="1B2A4A"/>
                <w:sz w:val="19"/>
                <w:szCs w:val="19"/>
              </w:rPr>
              <w:t>1 fois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1578A165" w14:textId="77777777" w:rsidR="00082682" w:rsidRDefault="001E3FBE">
            <w:pPr>
              <w:spacing w:before="30" w:after="30"/>
            </w:pPr>
            <w:r>
              <w:rPr>
                <w:rFonts w:ascii="Garamond" w:eastAsia="Garamond" w:hAnsi="Garamond" w:cs="Garamond"/>
                <w:color w:val="1B2A4A"/>
                <w:sz w:val="19"/>
                <w:szCs w:val="19"/>
              </w:rPr>
              <w:t>Cooptation par le CA, validation par arrêté</w:t>
            </w:r>
          </w:p>
        </w:tc>
      </w:tr>
      <w:tr w:rsidR="00082682" w14:paraId="1429E497"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20E05AC7" w14:textId="77777777" w:rsidR="00082682" w:rsidRDefault="001E3FBE">
            <w:pPr>
              <w:spacing w:before="30" w:after="30"/>
            </w:pPr>
            <w:r>
              <w:rPr>
                <w:rFonts w:ascii="Garamond" w:eastAsia="Garamond" w:hAnsi="Garamond" w:cs="Garamond"/>
                <w:b/>
                <w:bCs/>
                <w:color w:val="1B2A4A"/>
                <w:sz w:val="19"/>
                <w:szCs w:val="19"/>
              </w:rPr>
              <w:t>Directeur Exécutif</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5A073B84" w14:textId="77777777" w:rsidR="00082682" w:rsidRDefault="001E3FBE">
            <w:pPr>
              <w:spacing w:before="30" w:after="30"/>
              <w:jc w:val="center"/>
            </w:pPr>
            <w:r>
              <w:rPr>
                <w:rFonts w:ascii="Garamond" w:eastAsia="Garamond" w:hAnsi="Garamond" w:cs="Garamond"/>
                <w:color w:val="1B2A4A"/>
                <w:sz w:val="19"/>
                <w:szCs w:val="19"/>
              </w:rPr>
              <w:t>3 ans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62830BC5" w14:textId="77777777" w:rsidR="00082682" w:rsidRDefault="001E3FBE">
            <w:pPr>
              <w:spacing w:before="30" w:after="30"/>
              <w:jc w:val="center"/>
            </w:pPr>
            <w:r>
              <w:rPr>
                <w:rFonts w:ascii="Garamond" w:eastAsia="Garamond" w:hAnsi="Garamond" w:cs="Garamond"/>
                <w:color w:val="1B2A4A"/>
                <w:sz w:val="19"/>
                <w:szCs w:val="19"/>
              </w:rPr>
              <w:t>2 fois max.</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58677615" w14:textId="77777777" w:rsidR="00082682" w:rsidRDefault="001E3FBE">
            <w:pPr>
              <w:spacing w:before="30" w:after="30"/>
            </w:pPr>
            <w:r>
              <w:rPr>
                <w:rFonts w:ascii="Garamond" w:eastAsia="Garamond" w:hAnsi="Garamond" w:cs="Garamond"/>
                <w:color w:val="1B2A4A"/>
                <w:sz w:val="19"/>
                <w:szCs w:val="19"/>
              </w:rPr>
              <w:t>Appel à candidatures, recrutement par le CA</w:t>
            </w:r>
          </w:p>
        </w:tc>
      </w:tr>
      <w:tr w:rsidR="00082682" w14:paraId="2444F136"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263329FB" w14:textId="77777777" w:rsidR="00082682" w:rsidRDefault="001E3FBE">
            <w:pPr>
              <w:spacing w:before="30" w:after="30"/>
            </w:pPr>
            <w:r>
              <w:rPr>
                <w:rFonts w:ascii="Garamond" w:eastAsia="Garamond" w:hAnsi="Garamond" w:cs="Garamond"/>
                <w:b/>
                <w:bCs/>
                <w:color w:val="1B2A4A"/>
                <w:sz w:val="19"/>
                <w:szCs w:val="19"/>
              </w:rPr>
              <w:t>Comité d’Audit</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13DE53B5" w14:textId="77777777" w:rsidR="00082682" w:rsidRDefault="001E3FBE">
            <w:pPr>
              <w:spacing w:before="30" w:after="30"/>
              <w:jc w:val="center"/>
            </w:pPr>
            <w:r>
              <w:rPr>
                <w:rFonts w:ascii="Garamond" w:eastAsia="Garamond" w:hAnsi="Garamond" w:cs="Garamond"/>
                <w:color w:val="1B2A4A"/>
                <w:sz w:val="19"/>
                <w:szCs w:val="19"/>
              </w:rPr>
              <w:t>3 ans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533E1235" w14:textId="77777777" w:rsidR="00082682" w:rsidRDefault="001E3FBE">
            <w:pPr>
              <w:spacing w:before="30" w:after="30"/>
              <w:jc w:val="center"/>
            </w:pPr>
            <w:r>
              <w:rPr>
                <w:rFonts w:ascii="Garamond" w:eastAsia="Garamond" w:hAnsi="Garamond" w:cs="Garamond"/>
                <w:color w:val="1B2A4A"/>
                <w:sz w:val="19"/>
                <w:szCs w:val="19"/>
              </w:rPr>
              <w:t>1 fois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0F4D51B9" w14:textId="77777777" w:rsidR="00082682" w:rsidRDefault="001E3FBE">
            <w:pPr>
              <w:spacing w:before="30" w:after="30"/>
            </w:pPr>
            <w:r>
              <w:rPr>
                <w:rFonts w:ascii="Garamond" w:eastAsia="Garamond" w:hAnsi="Garamond" w:cs="Garamond"/>
                <w:color w:val="1B2A4A"/>
                <w:sz w:val="19"/>
                <w:szCs w:val="19"/>
              </w:rPr>
              <w:t>Désignation CA sur liste d’experts indépendants</w:t>
            </w:r>
          </w:p>
        </w:tc>
      </w:tr>
      <w:tr w:rsidR="00082682" w14:paraId="325610A4"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03E677A4" w14:textId="77777777" w:rsidR="00082682" w:rsidRDefault="001E3FBE">
            <w:pPr>
              <w:spacing w:before="30" w:after="30"/>
            </w:pPr>
            <w:r>
              <w:rPr>
                <w:rFonts w:ascii="Garamond" w:eastAsia="Garamond" w:hAnsi="Garamond" w:cs="Garamond"/>
                <w:b/>
                <w:bCs/>
                <w:color w:val="1B2A4A"/>
                <w:sz w:val="19"/>
                <w:szCs w:val="19"/>
              </w:rPr>
              <w:t>Conseil Scientifique</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3B888BF2" w14:textId="77777777" w:rsidR="00082682" w:rsidRDefault="001E3FBE">
            <w:pPr>
              <w:spacing w:before="30" w:after="30"/>
              <w:jc w:val="center"/>
            </w:pPr>
            <w:r>
              <w:rPr>
                <w:rFonts w:ascii="Garamond" w:eastAsia="Garamond" w:hAnsi="Garamond" w:cs="Garamond"/>
                <w:color w:val="1B2A4A"/>
                <w:sz w:val="19"/>
                <w:szCs w:val="19"/>
              </w:rPr>
              <w:t>5 ans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006D93B1" w14:textId="77777777" w:rsidR="00082682" w:rsidRDefault="001E3FBE">
            <w:pPr>
              <w:spacing w:before="30" w:after="30"/>
              <w:jc w:val="center"/>
            </w:pPr>
            <w:r>
              <w:rPr>
                <w:rFonts w:ascii="Garamond" w:eastAsia="Garamond" w:hAnsi="Garamond" w:cs="Garamond"/>
                <w:color w:val="1B2A4A"/>
                <w:sz w:val="19"/>
                <w:szCs w:val="19"/>
              </w:rPr>
              <w:t>1 fois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06C79970" w14:textId="77777777" w:rsidR="00082682" w:rsidRDefault="001E3FBE">
            <w:pPr>
              <w:spacing w:before="30" w:after="30"/>
            </w:pPr>
            <w:r>
              <w:rPr>
                <w:rFonts w:ascii="Garamond" w:eastAsia="Garamond" w:hAnsi="Garamond" w:cs="Garamond"/>
                <w:color w:val="1B2A4A"/>
                <w:sz w:val="19"/>
                <w:szCs w:val="19"/>
              </w:rPr>
              <w:t>Proposition CA, avis Ministère de tutelle</w:t>
            </w:r>
          </w:p>
        </w:tc>
      </w:tr>
    </w:tbl>
    <w:p w14:paraId="2AC93657" w14:textId="77777777" w:rsidR="00082682" w:rsidRDefault="00082682">
      <w:pPr>
        <w:spacing w:before="260"/>
      </w:pPr>
    </w:p>
    <w:p w14:paraId="04365FC5" w14:textId="77777777" w:rsidR="00082682" w:rsidRDefault="001E3FBE">
      <w:pPr>
        <w:pStyle w:val="Titre2"/>
      </w:pPr>
      <w:r>
        <w:t>Règles de succession et de continuité</w:t>
      </w:r>
    </w:p>
    <w:p w14:paraId="3504AE38" w14:textId="77777777" w:rsidR="00082682" w:rsidRDefault="00082682">
      <w:pPr>
        <w:pBdr>
          <w:bottom w:val="single" w:sz="6" w:space="1" w:color="B8963E"/>
        </w:pBdr>
        <w:spacing w:before="60" w:after="180"/>
      </w:pPr>
    </w:p>
    <w:p w14:paraId="0F9C6B88" w14:textId="77777777" w:rsidR="00082682" w:rsidRDefault="00082682">
      <w:pPr>
        <w:spacing w:before="60" w:after="60"/>
      </w:pPr>
    </w:p>
    <w:tbl>
      <w:tblPr>
        <w:tblW w:w="93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1"/>
        <w:gridCol w:w="6865"/>
      </w:tblGrid>
      <w:tr w:rsidR="00082682" w14:paraId="18CF0924" w14:textId="77777777">
        <w:tblPrEx>
          <w:tblCellMar>
            <w:top w:w="0" w:type="dxa"/>
            <w:bottom w:w="0" w:type="dxa"/>
          </w:tblCellMar>
        </w:tblPrEx>
        <w:trPr>
          <w:tblHeader/>
        </w:trPr>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7ED5FFAE" w14:textId="77777777" w:rsidR="00082682" w:rsidRDefault="001E3FBE">
            <w:pPr>
              <w:spacing w:before="30" w:after="30"/>
              <w:jc w:val="center"/>
            </w:pPr>
            <w:r>
              <w:rPr>
                <w:rFonts w:ascii="Garamond" w:eastAsia="Garamond" w:hAnsi="Garamond" w:cs="Garamond"/>
                <w:b/>
                <w:bCs/>
                <w:color w:val="FFFFFF"/>
                <w:sz w:val="20"/>
                <w:szCs w:val="20"/>
              </w:rPr>
              <w:t>Situation</w:t>
            </w:r>
          </w:p>
        </w:tc>
        <w:tc>
          <w:tcPr>
            <w:tcW w:w="0" w:type="auto"/>
            <w:tcBorders>
              <w:top w:val="single" w:sz="2" w:space="0" w:color="B8963E"/>
              <w:left w:val="single" w:sz="2" w:space="0" w:color="B8963E"/>
              <w:bottom w:val="single" w:sz="2" w:space="0" w:color="B8963E"/>
              <w:right w:val="single" w:sz="2" w:space="0" w:color="B8963E"/>
            </w:tcBorders>
            <w:shd w:val="clear" w:color="auto" w:fill="1B2A4A"/>
            <w:tcMar>
              <w:top w:w="100" w:type="dxa"/>
              <w:left w:w="140" w:type="dxa"/>
              <w:bottom w:w="100" w:type="dxa"/>
              <w:right w:w="140" w:type="dxa"/>
            </w:tcMar>
            <w:vAlign w:val="center"/>
          </w:tcPr>
          <w:p w14:paraId="72BEB267" w14:textId="77777777" w:rsidR="00082682" w:rsidRDefault="001E3FBE">
            <w:pPr>
              <w:spacing w:before="30" w:after="30"/>
              <w:jc w:val="center"/>
            </w:pPr>
            <w:r>
              <w:rPr>
                <w:rFonts w:ascii="Garamond" w:eastAsia="Garamond" w:hAnsi="Garamond" w:cs="Garamond"/>
                <w:b/>
                <w:bCs/>
                <w:color w:val="FFFFFF"/>
                <w:sz w:val="20"/>
                <w:szCs w:val="20"/>
              </w:rPr>
              <w:t>Règle applicable</w:t>
            </w:r>
          </w:p>
        </w:tc>
      </w:tr>
      <w:tr w:rsidR="00082682" w14:paraId="48FB70FD"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599E56F5" w14:textId="77777777" w:rsidR="00082682" w:rsidRDefault="001E3FBE">
            <w:pPr>
              <w:spacing w:before="30" w:after="30"/>
            </w:pPr>
            <w:r>
              <w:rPr>
                <w:rFonts w:ascii="Garamond" w:eastAsia="Garamond" w:hAnsi="Garamond" w:cs="Garamond"/>
                <w:b/>
                <w:bCs/>
                <w:color w:val="1B2A4A"/>
                <w:sz w:val="19"/>
                <w:szCs w:val="19"/>
              </w:rPr>
              <w:t>Fin de mandat présidentiel</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2A7AEDA4" w14:textId="77777777" w:rsidR="00082682" w:rsidRDefault="001E3FBE">
            <w:pPr>
              <w:spacing w:before="30" w:after="30"/>
            </w:pPr>
            <w:r>
              <w:rPr>
                <w:rFonts w:ascii="Garamond" w:eastAsia="Garamond" w:hAnsi="Garamond" w:cs="Garamond"/>
                <w:color w:val="1B2A4A"/>
                <w:sz w:val="19"/>
                <w:szCs w:val="19"/>
              </w:rPr>
              <w:t>La Fondation n’est pas dissoute. Présidence vacante. Le CA invite la nouvelle Première Dame à en accepter la présidence.</w:t>
            </w:r>
          </w:p>
        </w:tc>
      </w:tr>
      <w:tr w:rsidR="00082682" w14:paraId="6309D9C6"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712A6D87" w14:textId="77777777" w:rsidR="00082682" w:rsidRDefault="001E3FBE">
            <w:pPr>
              <w:spacing w:before="30" w:after="30"/>
            </w:pPr>
            <w:r>
              <w:rPr>
                <w:rFonts w:ascii="Garamond" w:eastAsia="Garamond" w:hAnsi="Garamond" w:cs="Garamond"/>
                <w:b/>
                <w:bCs/>
                <w:color w:val="1B2A4A"/>
                <w:sz w:val="19"/>
                <w:szCs w:val="19"/>
              </w:rPr>
              <w:t>Refus ou absence de Première Dame</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03B8C929" w14:textId="77777777" w:rsidR="00082682" w:rsidRDefault="001E3FBE">
            <w:pPr>
              <w:spacing w:before="30" w:after="30"/>
            </w:pPr>
            <w:r>
              <w:rPr>
                <w:rFonts w:ascii="Garamond" w:eastAsia="Garamond" w:hAnsi="Garamond" w:cs="Garamond"/>
                <w:color w:val="1B2A4A"/>
                <w:sz w:val="19"/>
                <w:szCs w:val="19"/>
              </w:rPr>
              <w:t>Le Président du CA assure l’intérim jusqu’à désignation d’un président d’honneur extérieur.</w:t>
            </w:r>
          </w:p>
        </w:tc>
      </w:tr>
      <w:tr w:rsidR="00082682" w14:paraId="454EBCB9"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0BF45D65" w14:textId="77777777" w:rsidR="00082682" w:rsidRDefault="001E3FBE">
            <w:pPr>
              <w:spacing w:before="30" w:after="30"/>
            </w:pPr>
            <w:r>
              <w:rPr>
                <w:rFonts w:ascii="Garamond" w:eastAsia="Garamond" w:hAnsi="Garamond" w:cs="Garamond"/>
                <w:b/>
                <w:bCs/>
                <w:color w:val="1B2A4A"/>
                <w:sz w:val="19"/>
                <w:szCs w:val="19"/>
              </w:rPr>
              <w:t>Vacance au CA</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38AFA4B6" w14:textId="77777777" w:rsidR="00082682" w:rsidRDefault="001E3FBE">
            <w:pPr>
              <w:spacing w:before="30" w:after="30"/>
            </w:pPr>
            <w:r>
              <w:rPr>
                <w:rFonts w:ascii="Garamond" w:eastAsia="Garamond" w:hAnsi="Garamond" w:cs="Garamond"/>
                <w:color w:val="1B2A4A"/>
                <w:sz w:val="19"/>
                <w:szCs w:val="19"/>
              </w:rPr>
              <w:t>Cooptation dans les 60 jours. Le CA délibère valablement à la majorité des membres en exercice.</w:t>
            </w:r>
          </w:p>
        </w:tc>
      </w:tr>
      <w:tr w:rsidR="00082682" w14:paraId="7E1DCF1B"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78AAE08B" w14:textId="77777777" w:rsidR="00082682" w:rsidRDefault="001E3FBE">
            <w:pPr>
              <w:spacing w:before="30" w:after="30"/>
            </w:pPr>
            <w:r>
              <w:rPr>
                <w:rFonts w:ascii="Garamond" w:eastAsia="Garamond" w:hAnsi="Garamond" w:cs="Garamond"/>
                <w:b/>
                <w:bCs/>
                <w:color w:val="1B2A4A"/>
                <w:sz w:val="19"/>
                <w:szCs w:val="19"/>
              </w:rPr>
              <w:t>Départ du Directeur Exécutif</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4E751E72" w14:textId="77777777" w:rsidR="00082682" w:rsidRDefault="001E3FBE">
            <w:pPr>
              <w:spacing w:before="30" w:after="30"/>
            </w:pPr>
            <w:r>
              <w:rPr>
                <w:rFonts w:ascii="Garamond" w:eastAsia="Garamond" w:hAnsi="Garamond" w:cs="Garamond"/>
                <w:color w:val="1B2A4A"/>
                <w:sz w:val="19"/>
                <w:szCs w:val="19"/>
              </w:rPr>
              <w:t>Intérim du Directeur Adjoint. Appel à candidatures lancé sous 90 jours.</w:t>
            </w:r>
          </w:p>
        </w:tc>
      </w:tr>
      <w:tr w:rsidR="00082682" w14:paraId="5D7E7D3E"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589F3AE3" w14:textId="77777777" w:rsidR="00082682" w:rsidRDefault="001E3FBE">
            <w:pPr>
              <w:spacing w:before="30" w:after="30"/>
            </w:pPr>
            <w:r>
              <w:rPr>
                <w:rFonts w:ascii="Garamond" w:eastAsia="Garamond" w:hAnsi="Garamond" w:cs="Garamond"/>
                <w:b/>
                <w:bCs/>
                <w:color w:val="1B2A4A"/>
                <w:sz w:val="19"/>
                <w:szCs w:val="19"/>
              </w:rPr>
              <w:t>Modification des statuts</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6FA30EDF" w14:textId="77777777" w:rsidR="00082682" w:rsidRDefault="001E3FBE">
            <w:pPr>
              <w:spacing w:before="30" w:after="30"/>
            </w:pPr>
            <w:r>
              <w:rPr>
                <w:rFonts w:ascii="Garamond" w:eastAsia="Garamond" w:hAnsi="Garamond" w:cs="Garamond"/>
                <w:color w:val="1B2A4A"/>
                <w:sz w:val="19"/>
                <w:szCs w:val="19"/>
              </w:rPr>
              <w:t>Vote aux deux tiers du CA, en deux sessions espacées de 30 jours minimum. Validation par décret.</w:t>
            </w:r>
          </w:p>
        </w:tc>
      </w:tr>
      <w:tr w:rsidR="00082682" w14:paraId="64211EED" w14:textId="77777777">
        <w:tblPrEx>
          <w:tblCellMar>
            <w:top w:w="0" w:type="dxa"/>
            <w:bottom w:w="0" w:type="dxa"/>
          </w:tblCellMar>
        </w:tblPrEx>
        <w:tc>
          <w:tcPr>
            <w:tcW w:w="0" w:type="auto"/>
            <w:tcBorders>
              <w:top w:val="single" w:sz="2" w:space="0" w:color="B8963E"/>
              <w:left w:val="single" w:sz="2" w:space="0" w:color="B8963E"/>
              <w:bottom w:val="single" w:sz="2" w:space="0" w:color="B8963E"/>
              <w:right w:val="single" w:sz="2" w:space="0" w:color="B8963E"/>
            </w:tcBorders>
            <w:shd w:val="clear" w:color="auto" w:fill="F5F0E8"/>
            <w:tcMar>
              <w:top w:w="100" w:type="dxa"/>
              <w:left w:w="140" w:type="dxa"/>
              <w:bottom w:w="100" w:type="dxa"/>
              <w:right w:w="140" w:type="dxa"/>
            </w:tcMar>
            <w:vAlign w:val="center"/>
          </w:tcPr>
          <w:p w14:paraId="58979381" w14:textId="77777777" w:rsidR="00082682" w:rsidRDefault="001E3FBE">
            <w:pPr>
              <w:spacing w:before="30" w:after="30"/>
            </w:pPr>
            <w:r>
              <w:rPr>
                <w:rFonts w:ascii="Garamond" w:eastAsia="Garamond" w:hAnsi="Garamond" w:cs="Garamond"/>
                <w:b/>
                <w:bCs/>
                <w:color w:val="1B2A4A"/>
                <w:sz w:val="19"/>
                <w:szCs w:val="19"/>
              </w:rPr>
              <w:t>Dissolution</w:t>
            </w:r>
          </w:p>
        </w:tc>
        <w:tc>
          <w:tcPr>
            <w:tcW w:w="0" w:type="auto"/>
            <w:tcBorders>
              <w:top w:val="single" w:sz="2" w:space="0" w:color="B8963E"/>
              <w:left w:val="single" w:sz="2" w:space="0" w:color="B8963E"/>
              <w:bottom w:val="single" w:sz="2" w:space="0" w:color="B8963E"/>
              <w:right w:val="single" w:sz="2" w:space="0" w:color="B8963E"/>
            </w:tcBorders>
            <w:shd w:val="clear" w:color="auto" w:fill="FFFFFF"/>
            <w:tcMar>
              <w:top w:w="100" w:type="dxa"/>
              <w:left w:w="140" w:type="dxa"/>
              <w:bottom w:w="100" w:type="dxa"/>
              <w:right w:w="140" w:type="dxa"/>
            </w:tcMar>
            <w:vAlign w:val="center"/>
          </w:tcPr>
          <w:p w14:paraId="4A02AFDA" w14:textId="77777777" w:rsidR="00082682" w:rsidRDefault="001E3FBE">
            <w:pPr>
              <w:spacing w:before="30" w:after="30"/>
            </w:pPr>
            <w:r>
              <w:rPr>
                <w:rFonts w:ascii="Garamond" w:eastAsia="Garamond" w:hAnsi="Garamond" w:cs="Garamond"/>
                <w:color w:val="1B2A4A"/>
                <w:sz w:val="19"/>
                <w:szCs w:val="19"/>
              </w:rPr>
              <w:t>Impossible par décision unilatérale. Vote unanime du CA requis + décision de justice. Actifs transférés à un fonds national de solidarité.</w:t>
            </w:r>
          </w:p>
        </w:tc>
      </w:tr>
    </w:tbl>
    <w:p w14:paraId="65AC570B" w14:textId="77777777" w:rsidR="00082682" w:rsidRDefault="00082682">
      <w:pPr>
        <w:spacing w:before="300"/>
      </w:pP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86"/>
      </w:tblGrid>
      <w:tr w:rsidR="00082682" w14:paraId="6F71F2FE" w14:textId="77777777">
        <w:tblPrEx>
          <w:tblCellMar>
            <w:top w:w="0" w:type="dxa"/>
            <w:bottom w:w="0" w:type="dxa"/>
          </w:tblCellMar>
        </w:tblPrEx>
        <w:tc>
          <w:tcPr>
            <w:tcW w:w="0" w:type="auto"/>
            <w:shd w:val="clear" w:color="auto" w:fill="1B2A4A"/>
            <w:tcMar>
              <w:top w:w="260" w:type="dxa"/>
              <w:left w:w="360" w:type="dxa"/>
              <w:bottom w:w="260" w:type="dxa"/>
              <w:right w:w="360" w:type="dxa"/>
            </w:tcMar>
          </w:tcPr>
          <w:p w14:paraId="1F941EE2" w14:textId="77777777" w:rsidR="00082682" w:rsidRDefault="001E3FBE">
            <w:pPr>
              <w:spacing w:after="80"/>
              <w:jc w:val="center"/>
            </w:pPr>
            <w:r>
              <w:rPr>
                <w:rFonts w:ascii="Garamond" w:eastAsia="Garamond" w:hAnsi="Garamond" w:cs="Garamond"/>
                <w:b/>
                <w:bCs/>
                <w:color w:val="B8963E"/>
                <w:sz w:val="18"/>
                <w:szCs w:val="18"/>
              </w:rPr>
              <w:t>PRINCIPE FONDATEUR</w:t>
            </w:r>
          </w:p>
          <w:p w14:paraId="10718E6F" w14:textId="77777777" w:rsidR="00082682" w:rsidRDefault="001E3FBE">
            <w:pPr>
              <w:jc w:val="center"/>
            </w:pPr>
            <w:r>
              <w:rPr>
                <w:rFonts w:ascii="Garamond" w:eastAsia="Garamond" w:hAnsi="Garamond" w:cs="Garamond"/>
                <w:i/>
                <w:iCs/>
                <w:color w:val="FFFFFF"/>
              </w:rPr>
              <w:t>« La Fondation précède la Première Dame. La Première Dame ne fonde pas la Fondation : elle en assume la présidence le temps d’un mandat, et lui transmet son prestige sans lui imposer son destin. »</w:t>
            </w:r>
          </w:p>
        </w:tc>
      </w:tr>
    </w:tbl>
    <w:p w14:paraId="0183DCBC" w14:textId="77777777" w:rsidR="00082682" w:rsidRDefault="00082682">
      <w:pPr>
        <w:spacing w:before="240"/>
      </w:pPr>
    </w:p>
    <w:p w14:paraId="3AB7BF56" w14:textId="77777777" w:rsidR="00082682" w:rsidRDefault="001E3FBE">
      <w:pPr>
        <w:spacing w:line="300" w:lineRule="auto"/>
        <w:jc w:val="both"/>
      </w:pPr>
      <w:r>
        <w:rPr>
          <w:i/>
          <w:iCs/>
          <w:color w:val="6B6B6B"/>
          <w:sz w:val="18"/>
          <w:szCs w:val="18"/>
        </w:rPr>
        <w:t>Ce schéma est une proposition prescriptive, compatible avec la loi 95-11 du 7 avril 1995. Il peut être intégré aux statuts fondateurs ou consacré par un texte législatif instituant une Fondation nationale des Premières Dames du Sénégal.</w:t>
      </w:r>
    </w:p>
    <w:sectPr w:rsidR="00082682">
      <w:headerReference w:type="default" r:id="rId7"/>
      <w:footerReference w:type="default" r:id="rId8"/>
      <w:pgSz w:w="11906" w:h="16838"/>
      <w:pgMar w:top="108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9DA1A" w14:textId="77777777" w:rsidR="001E3FBE" w:rsidRDefault="001E3FBE">
      <w:r>
        <w:separator/>
      </w:r>
    </w:p>
  </w:endnote>
  <w:endnote w:type="continuationSeparator" w:id="0">
    <w:p w14:paraId="44C0071A" w14:textId="77777777" w:rsidR="001E3FBE" w:rsidRDefault="001E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9F3" w14:textId="77777777" w:rsidR="00082682" w:rsidRDefault="001E3FBE">
    <w:pPr>
      <w:pBdr>
        <w:top w:val="single" w:sz="4" w:space="4" w:color="B8963E"/>
      </w:pBdr>
      <w:tabs>
        <w:tab w:val="right" w:pos="9026"/>
      </w:tabs>
      <w:spacing w:before="80"/>
    </w:pPr>
    <w:r>
      <w:rPr>
        <w:rFonts w:ascii="Garamond" w:eastAsia="Garamond" w:hAnsi="Garamond" w:cs="Garamond"/>
        <w:color w:val="6B6B6B"/>
        <w:sz w:val="16"/>
        <w:szCs w:val="16"/>
      </w:rPr>
      <w:t>mamadouthiam@hotmail.com</w:t>
    </w:r>
    <w:r>
      <w:rPr>
        <w:sz w:val="16"/>
        <w:szCs w:val="16"/>
      </w:rPr>
      <w:tab/>
    </w:r>
    <w:r>
      <w:rPr>
        <w:rFonts w:ascii="Garamond" w:eastAsia="Garamond" w:hAnsi="Garamond" w:cs="Garamond"/>
        <w:color w:val="B8963E"/>
        <w:sz w:val="16"/>
        <w:szCs w:val="16"/>
      </w:rPr>
      <w:fldChar w:fldCharType="begin"/>
    </w:r>
    <w:r>
      <w:rPr>
        <w:rFonts w:ascii="Garamond" w:eastAsia="Garamond" w:hAnsi="Garamond" w:cs="Garamond"/>
        <w:color w:val="B8963E"/>
        <w:sz w:val="16"/>
        <w:szCs w:val="16"/>
      </w:rPr>
      <w:instrText>PAGE</w:instrText>
    </w:r>
    <w:r>
      <w:rPr>
        <w:rFonts w:ascii="Garamond" w:eastAsia="Garamond" w:hAnsi="Garamond" w:cs="Garamond"/>
        <w:color w:val="B8963E"/>
        <w:sz w:val="16"/>
        <w:szCs w:val="16"/>
      </w:rPr>
      <w:fldChar w:fldCharType="separate"/>
    </w:r>
    <w:r>
      <w:rPr>
        <w:rFonts w:ascii="Garamond" w:eastAsia="Garamond" w:hAnsi="Garamond" w:cs="Garamond"/>
        <w:color w:val="B8963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B106" w14:textId="77777777" w:rsidR="001E3FBE" w:rsidRDefault="001E3FBE">
      <w:r>
        <w:separator/>
      </w:r>
    </w:p>
  </w:footnote>
  <w:footnote w:type="continuationSeparator" w:id="0">
    <w:p w14:paraId="00098FDE" w14:textId="77777777" w:rsidR="001E3FBE" w:rsidRDefault="001E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ABF9" w14:textId="77777777" w:rsidR="00082682" w:rsidRDefault="001E3FBE">
    <w:pPr>
      <w:pBdr>
        <w:bottom w:val="single" w:sz="4" w:space="4" w:color="B8963E"/>
      </w:pBdr>
      <w:tabs>
        <w:tab w:val="right" w:pos="9026"/>
      </w:tabs>
      <w:spacing w:after="80"/>
    </w:pPr>
    <w:r>
      <w:rPr>
        <w:rFonts w:ascii="Garamond" w:eastAsia="Garamond" w:hAnsi="Garamond" w:cs="Garamond"/>
        <w:i/>
        <w:iCs/>
        <w:color w:val="B8963E"/>
        <w:sz w:val="18"/>
        <w:szCs w:val="18"/>
      </w:rPr>
      <w:t>Tribune</w:t>
    </w:r>
    <w:r>
      <w:rPr>
        <w:sz w:val="18"/>
        <w:szCs w:val="18"/>
      </w:rPr>
      <w:tab/>
    </w:r>
    <w:r>
      <w:rPr>
        <w:rFonts w:ascii="Garamond" w:eastAsia="Garamond" w:hAnsi="Garamond" w:cs="Garamond"/>
        <w:color w:val="6B6B6B"/>
        <w:sz w:val="18"/>
        <w:szCs w:val="18"/>
      </w:rPr>
      <w:t>Mamadou Thiam  |  Avril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809"/>
    <w:multiLevelType w:val="hybridMultilevel"/>
    <w:tmpl w:val="FFFFFFFF"/>
    <w:lvl w:ilvl="0" w:tplc="58D67894">
      <w:start w:val="1"/>
      <w:numFmt w:val="bullet"/>
      <w:lvlText w:val="●"/>
      <w:lvlJc w:val="left"/>
      <w:pPr>
        <w:ind w:left="720" w:hanging="360"/>
      </w:pPr>
    </w:lvl>
    <w:lvl w:ilvl="1" w:tplc="2E362480">
      <w:start w:val="1"/>
      <w:numFmt w:val="bullet"/>
      <w:lvlText w:val="○"/>
      <w:lvlJc w:val="left"/>
      <w:pPr>
        <w:ind w:left="1440" w:hanging="360"/>
      </w:pPr>
    </w:lvl>
    <w:lvl w:ilvl="2" w:tplc="B6DC8A3C">
      <w:start w:val="1"/>
      <w:numFmt w:val="bullet"/>
      <w:lvlText w:val="■"/>
      <w:lvlJc w:val="left"/>
      <w:pPr>
        <w:ind w:left="2160" w:hanging="360"/>
      </w:pPr>
    </w:lvl>
    <w:lvl w:ilvl="3" w:tplc="8FF2ACCA">
      <w:start w:val="1"/>
      <w:numFmt w:val="bullet"/>
      <w:lvlText w:val="●"/>
      <w:lvlJc w:val="left"/>
      <w:pPr>
        <w:ind w:left="2880" w:hanging="360"/>
      </w:pPr>
    </w:lvl>
    <w:lvl w:ilvl="4" w:tplc="338E1E86">
      <w:start w:val="1"/>
      <w:numFmt w:val="bullet"/>
      <w:lvlText w:val="○"/>
      <w:lvlJc w:val="left"/>
      <w:pPr>
        <w:ind w:left="3600" w:hanging="360"/>
      </w:pPr>
    </w:lvl>
    <w:lvl w:ilvl="5" w:tplc="4BE89A20">
      <w:start w:val="1"/>
      <w:numFmt w:val="bullet"/>
      <w:lvlText w:val="■"/>
      <w:lvlJc w:val="left"/>
      <w:pPr>
        <w:ind w:left="4320" w:hanging="360"/>
      </w:pPr>
    </w:lvl>
    <w:lvl w:ilvl="6" w:tplc="42CE4552">
      <w:start w:val="1"/>
      <w:numFmt w:val="bullet"/>
      <w:lvlText w:val="●"/>
      <w:lvlJc w:val="left"/>
      <w:pPr>
        <w:ind w:left="5040" w:hanging="360"/>
      </w:pPr>
    </w:lvl>
    <w:lvl w:ilvl="7" w:tplc="D33C2EAC">
      <w:start w:val="1"/>
      <w:numFmt w:val="bullet"/>
      <w:lvlText w:val="●"/>
      <w:lvlJc w:val="left"/>
      <w:pPr>
        <w:ind w:left="5760" w:hanging="360"/>
      </w:pPr>
    </w:lvl>
    <w:lvl w:ilvl="8" w:tplc="CB983556">
      <w:start w:val="1"/>
      <w:numFmt w:val="bullet"/>
      <w:lvlText w:val="●"/>
      <w:lvlJc w:val="left"/>
      <w:pPr>
        <w:ind w:left="6480" w:hanging="360"/>
      </w:pPr>
    </w:lvl>
  </w:abstractNum>
  <w:num w:numId="1" w16cid:durableId="818032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82"/>
    <w:rsid w:val="00082682"/>
    <w:rsid w:val="001E3FBE"/>
    <w:rsid w:val="0040206B"/>
    <w:rsid w:val="007813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FD5ACA"/>
  <w15:docId w15:val="{33693DC0-5972-B14D-95A6-718D92E1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C2C2C"/>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40" w:after="100"/>
      <w:outlineLvl w:val="0"/>
    </w:pPr>
    <w:rPr>
      <w:rFonts w:ascii="Garamond" w:eastAsia="Garamond" w:hAnsi="Garamond" w:cs="Garamond"/>
      <w:b/>
      <w:bCs/>
      <w:color w:val="1B2A4A"/>
      <w:sz w:val="28"/>
      <w:szCs w:val="28"/>
    </w:rPr>
  </w:style>
  <w:style w:type="paragraph" w:styleId="Titre2">
    <w:name w:val="heading 2"/>
    <w:uiPriority w:val="9"/>
    <w:unhideWhenUsed/>
    <w:qFormat/>
    <w:pPr>
      <w:spacing w:before="300" w:after="80"/>
      <w:outlineLvl w:val="1"/>
    </w:pPr>
    <w:rPr>
      <w:rFonts w:ascii="Garamond" w:eastAsia="Garamond" w:hAnsi="Garamond" w:cs="Garamond"/>
      <w:b/>
      <w:bCs/>
      <w:color w:val="1B2A4A"/>
      <w:sz w:val="24"/>
      <w:szCs w:val="24"/>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1396</Words>
  <Characters>7683</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Mamadou Thiam</cp:lastModifiedBy>
  <cp:revision>2</cp:revision>
  <dcterms:created xsi:type="dcterms:W3CDTF">2026-04-08T19:34:00Z</dcterms:created>
  <dcterms:modified xsi:type="dcterms:W3CDTF">2026-04-08T19:34:00Z</dcterms:modified>
</cp:coreProperties>
</file>