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66D" w:rsidRPr="0008466D" w:rsidRDefault="0008466D" w:rsidP="0008466D">
      <w:pPr>
        <w:jc w:val="center"/>
        <w:rPr>
          <w:rFonts w:ascii="Cambria" w:hAnsi="Cambria"/>
          <w:sz w:val="48"/>
          <w:szCs w:val="48"/>
        </w:rPr>
      </w:pPr>
      <w:r w:rsidRPr="0008466D">
        <w:rPr>
          <w:rFonts w:ascii="Cambria" w:hAnsi="Cambria"/>
          <w:sz w:val="48"/>
          <w:szCs w:val="48"/>
        </w:rPr>
        <w:t>Les performances économiques du Sénégal depuis 2000.</w:t>
      </w:r>
    </w:p>
    <w:p w:rsidR="0008466D" w:rsidRDefault="0008466D" w:rsidP="00C76BF2">
      <w:pPr>
        <w:jc w:val="both"/>
        <w:rPr>
          <w:rFonts w:ascii="Cambria" w:hAnsi="Cambria"/>
        </w:rPr>
      </w:pPr>
    </w:p>
    <w:p w:rsidR="0008466D" w:rsidRDefault="0008466D" w:rsidP="00C76BF2">
      <w:pPr>
        <w:jc w:val="both"/>
        <w:rPr>
          <w:rFonts w:ascii="Cambria" w:hAnsi="Cambria"/>
        </w:rPr>
      </w:pPr>
    </w:p>
    <w:p w:rsidR="0008466D" w:rsidRDefault="0008466D" w:rsidP="00C76BF2">
      <w:pPr>
        <w:jc w:val="both"/>
        <w:rPr>
          <w:rFonts w:ascii="Cambria" w:hAnsi="Cambria"/>
        </w:rPr>
      </w:pPr>
    </w:p>
    <w:p w:rsidR="0008466D" w:rsidRDefault="0008466D" w:rsidP="00C76BF2">
      <w:pPr>
        <w:jc w:val="both"/>
        <w:rPr>
          <w:rFonts w:ascii="Cambria" w:hAnsi="Cambria"/>
        </w:rPr>
      </w:pPr>
    </w:p>
    <w:p w:rsidR="0008466D" w:rsidRDefault="0008466D" w:rsidP="00C76BF2">
      <w:pPr>
        <w:jc w:val="both"/>
        <w:rPr>
          <w:rFonts w:ascii="Cambria" w:hAnsi="Cambria"/>
        </w:rPr>
      </w:pPr>
    </w:p>
    <w:p w:rsidR="0008466D" w:rsidRDefault="0008466D" w:rsidP="00C76BF2">
      <w:pPr>
        <w:jc w:val="both"/>
        <w:rPr>
          <w:rFonts w:ascii="Cambria" w:hAnsi="Cambria"/>
        </w:rPr>
      </w:pPr>
    </w:p>
    <w:p w:rsidR="00402C2F" w:rsidRPr="0008466D" w:rsidRDefault="00D81FDC" w:rsidP="0008466D">
      <w:pPr>
        <w:jc w:val="center"/>
        <w:rPr>
          <w:rFonts w:ascii="Cambria" w:hAnsi="Cambria"/>
          <w:sz w:val="48"/>
          <w:szCs w:val="48"/>
        </w:rPr>
      </w:pPr>
      <w:r w:rsidRPr="0008466D">
        <w:rPr>
          <w:rFonts w:ascii="Cambria" w:hAnsi="Cambria"/>
          <w:sz w:val="48"/>
          <w:szCs w:val="48"/>
        </w:rPr>
        <w:t xml:space="preserve">Comment le </w:t>
      </w:r>
      <w:r w:rsidR="0008466D" w:rsidRPr="0008466D">
        <w:rPr>
          <w:rFonts w:ascii="Cambria" w:hAnsi="Cambria"/>
          <w:sz w:val="48"/>
          <w:szCs w:val="48"/>
        </w:rPr>
        <w:t>Sénégal</w:t>
      </w:r>
      <w:r w:rsidRPr="0008466D">
        <w:rPr>
          <w:rFonts w:ascii="Cambria" w:hAnsi="Cambria"/>
          <w:sz w:val="48"/>
          <w:szCs w:val="48"/>
        </w:rPr>
        <w:t xml:space="preserve"> se compare</w:t>
      </w:r>
      <w:r w:rsidR="00421C5F">
        <w:rPr>
          <w:rFonts w:ascii="Cambria" w:hAnsi="Cambria"/>
          <w:sz w:val="48"/>
          <w:szCs w:val="48"/>
        </w:rPr>
        <w:t xml:space="preserve"> t-il</w:t>
      </w:r>
      <w:r w:rsidRPr="0008466D">
        <w:rPr>
          <w:rFonts w:ascii="Cambria" w:hAnsi="Cambria"/>
          <w:sz w:val="48"/>
          <w:szCs w:val="48"/>
        </w:rPr>
        <w:t xml:space="preserve"> aux pays voisins en </w:t>
      </w:r>
      <w:r w:rsidR="0008466D" w:rsidRPr="0008466D">
        <w:rPr>
          <w:rFonts w:ascii="Cambria" w:hAnsi="Cambria"/>
          <w:sz w:val="48"/>
          <w:szCs w:val="48"/>
        </w:rPr>
        <w:t>matière</w:t>
      </w:r>
      <w:r w:rsidRPr="0008466D">
        <w:rPr>
          <w:rFonts w:ascii="Cambria" w:hAnsi="Cambria"/>
          <w:sz w:val="48"/>
          <w:szCs w:val="48"/>
        </w:rPr>
        <w:t xml:space="preserve"> </w:t>
      </w:r>
      <w:r w:rsidR="0008466D" w:rsidRPr="0008466D">
        <w:rPr>
          <w:rFonts w:ascii="Cambria" w:hAnsi="Cambria"/>
          <w:sz w:val="48"/>
          <w:szCs w:val="48"/>
        </w:rPr>
        <w:t>économique</w:t>
      </w:r>
      <w:r w:rsidRPr="0008466D">
        <w:rPr>
          <w:rFonts w:ascii="Cambria" w:hAnsi="Cambria"/>
          <w:sz w:val="48"/>
          <w:szCs w:val="48"/>
        </w:rPr>
        <w:t> ?</w:t>
      </w:r>
    </w:p>
    <w:p w:rsidR="0008466D" w:rsidRDefault="0008466D" w:rsidP="00C76BF2">
      <w:pPr>
        <w:jc w:val="both"/>
        <w:rPr>
          <w:rFonts w:ascii="Cambria" w:hAnsi="Cambria"/>
        </w:rPr>
      </w:pPr>
    </w:p>
    <w:p w:rsidR="0008466D" w:rsidRDefault="0008466D" w:rsidP="00C76BF2">
      <w:pPr>
        <w:jc w:val="both"/>
        <w:rPr>
          <w:rFonts w:ascii="Cambria" w:hAnsi="Cambria"/>
        </w:rPr>
      </w:pPr>
    </w:p>
    <w:p w:rsidR="0008466D" w:rsidRPr="00F27754" w:rsidRDefault="00DF42C4" w:rsidP="00F27754">
      <w:pPr>
        <w:jc w:val="center"/>
        <w:rPr>
          <w:rFonts w:ascii="Cambria" w:hAnsi="Cambria"/>
          <w:sz w:val="32"/>
          <w:szCs w:val="32"/>
        </w:rPr>
      </w:pPr>
      <w:r>
        <w:rPr>
          <w:rFonts w:ascii="Cambria" w:hAnsi="Cambria"/>
          <w:sz w:val="32"/>
          <w:szCs w:val="32"/>
        </w:rPr>
        <w:t>12</w:t>
      </w:r>
      <w:r w:rsidR="00F27754" w:rsidRPr="00F27754">
        <w:rPr>
          <w:rFonts w:ascii="Cambria" w:hAnsi="Cambria"/>
          <w:sz w:val="32"/>
          <w:szCs w:val="32"/>
        </w:rPr>
        <w:t xml:space="preserve"> Octobre 2011</w:t>
      </w:r>
    </w:p>
    <w:p w:rsidR="0008466D" w:rsidRDefault="0008466D" w:rsidP="00C76BF2">
      <w:pPr>
        <w:jc w:val="both"/>
        <w:rPr>
          <w:rFonts w:ascii="Cambria" w:hAnsi="Cambria"/>
        </w:rPr>
      </w:pPr>
    </w:p>
    <w:p w:rsidR="0008466D" w:rsidRDefault="0008466D" w:rsidP="00C76BF2">
      <w:pPr>
        <w:jc w:val="both"/>
        <w:rPr>
          <w:rFonts w:ascii="Cambria" w:hAnsi="Cambria"/>
        </w:rPr>
      </w:pPr>
    </w:p>
    <w:p w:rsidR="0008466D" w:rsidRDefault="0008466D" w:rsidP="00C76BF2">
      <w:pPr>
        <w:jc w:val="both"/>
        <w:rPr>
          <w:rFonts w:ascii="Cambria" w:hAnsi="Cambria"/>
        </w:rPr>
      </w:pPr>
    </w:p>
    <w:p w:rsidR="0008466D" w:rsidRDefault="0008466D" w:rsidP="0008466D">
      <w:pPr>
        <w:jc w:val="center"/>
        <w:rPr>
          <w:rFonts w:ascii="Cambria" w:hAnsi="Cambria"/>
        </w:rPr>
      </w:pPr>
    </w:p>
    <w:p w:rsidR="0008466D" w:rsidRPr="0008466D" w:rsidRDefault="0008466D" w:rsidP="0008466D">
      <w:pPr>
        <w:jc w:val="center"/>
        <w:rPr>
          <w:rFonts w:ascii="Cambria" w:hAnsi="Cambria"/>
          <w:sz w:val="36"/>
          <w:szCs w:val="36"/>
        </w:rPr>
      </w:pPr>
      <w:r w:rsidRPr="0008466D">
        <w:rPr>
          <w:rFonts w:ascii="Cambria" w:hAnsi="Cambria"/>
          <w:sz w:val="36"/>
          <w:szCs w:val="36"/>
        </w:rPr>
        <w:t>Léopold SARR</w:t>
      </w:r>
    </w:p>
    <w:p w:rsidR="0008466D" w:rsidRPr="0008466D" w:rsidRDefault="0008466D" w:rsidP="0008466D">
      <w:pPr>
        <w:jc w:val="center"/>
        <w:rPr>
          <w:rFonts w:ascii="Cambria" w:hAnsi="Cambria"/>
          <w:sz w:val="36"/>
          <w:szCs w:val="36"/>
        </w:rPr>
      </w:pPr>
      <w:r w:rsidRPr="0008466D">
        <w:rPr>
          <w:rFonts w:ascii="Cambria" w:hAnsi="Cambria"/>
          <w:sz w:val="36"/>
          <w:szCs w:val="36"/>
        </w:rPr>
        <w:t>Economiste</w:t>
      </w:r>
    </w:p>
    <w:p w:rsidR="0008466D" w:rsidRDefault="0008466D">
      <w:pPr>
        <w:rPr>
          <w:rFonts w:ascii="Cambria" w:hAnsi="Cambria"/>
        </w:rPr>
      </w:pPr>
      <w:r>
        <w:rPr>
          <w:rFonts w:ascii="Cambria" w:hAnsi="Cambria"/>
        </w:rPr>
        <w:br w:type="page"/>
      </w:r>
    </w:p>
    <w:p w:rsidR="0008466D" w:rsidRDefault="0008466D">
      <w:pPr>
        <w:rPr>
          <w:rFonts w:ascii="Cambria" w:hAnsi="Cambria"/>
        </w:rPr>
      </w:pPr>
    </w:p>
    <w:p w:rsidR="004F0D15" w:rsidRPr="0008466D" w:rsidRDefault="00D81FDC" w:rsidP="00C76BF2">
      <w:pPr>
        <w:jc w:val="both"/>
        <w:rPr>
          <w:rFonts w:ascii="Cambria" w:hAnsi="Cambria"/>
          <w:sz w:val="24"/>
          <w:szCs w:val="24"/>
        </w:rPr>
      </w:pPr>
      <w:r w:rsidRPr="0008466D">
        <w:rPr>
          <w:rFonts w:ascii="Cambria" w:hAnsi="Cambria"/>
          <w:sz w:val="24"/>
          <w:szCs w:val="24"/>
        </w:rPr>
        <w:t>Le r</w:t>
      </w:r>
      <w:r w:rsidR="007E7F94" w:rsidRPr="0008466D">
        <w:rPr>
          <w:rFonts w:ascii="Cambria" w:hAnsi="Cambria"/>
          <w:sz w:val="24"/>
          <w:szCs w:val="24"/>
        </w:rPr>
        <w:t>é</w:t>
      </w:r>
      <w:r w:rsidRPr="0008466D">
        <w:rPr>
          <w:rFonts w:ascii="Cambria" w:hAnsi="Cambria"/>
          <w:sz w:val="24"/>
          <w:szCs w:val="24"/>
        </w:rPr>
        <w:t>cent s</w:t>
      </w:r>
      <w:r w:rsidR="007E7F94" w:rsidRPr="0008466D">
        <w:rPr>
          <w:rFonts w:ascii="Cambria" w:hAnsi="Cambria"/>
          <w:sz w:val="24"/>
          <w:szCs w:val="24"/>
        </w:rPr>
        <w:t>é</w:t>
      </w:r>
      <w:r w:rsidRPr="0008466D">
        <w:rPr>
          <w:rFonts w:ascii="Cambria" w:hAnsi="Cambria"/>
          <w:sz w:val="24"/>
          <w:szCs w:val="24"/>
        </w:rPr>
        <w:t>minaire organis</w:t>
      </w:r>
      <w:r w:rsidR="007E7F94" w:rsidRPr="0008466D">
        <w:rPr>
          <w:rFonts w:ascii="Cambria" w:hAnsi="Cambria"/>
          <w:sz w:val="24"/>
          <w:szCs w:val="24"/>
        </w:rPr>
        <w:t>é</w:t>
      </w:r>
      <w:r w:rsidRPr="0008466D">
        <w:rPr>
          <w:rFonts w:ascii="Cambria" w:hAnsi="Cambria"/>
          <w:sz w:val="24"/>
          <w:szCs w:val="24"/>
        </w:rPr>
        <w:t xml:space="preserve"> par le Gouvernement du </w:t>
      </w:r>
      <w:r w:rsidR="0008466D" w:rsidRPr="0008466D">
        <w:rPr>
          <w:rFonts w:ascii="Cambria" w:hAnsi="Cambria"/>
          <w:sz w:val="24"/>
          <w:szCs w:val="24"/>
        </w:rPr>
        <w:t>Sénégal</w:t>
      </w:r>
      <w:r w:rsidRPr="0008466D">
        <w:rPr>
          <w:rFonts w:ascii="Cambria" w:hAnsi="Cambria"/>
          <w:sz w:val="24"/>
          <w:szCs w:val="24"/>
        </w:rPr>
        <w:t xml:space="preserve"> m</w:t>
      </w:r>
      <w:r w:rsidR="00C0728C" w:rsidRPr="0008466D">
        <w:rPr>
          <w:rFonts w:ascii="Cambria" w:hAnsi="Cambria"/>
          <w:sz w:val="24"/>
          <w:szCs w:val="24"/>
        </w:rPr>
        <w:t>e donne</w:t>
      </w:r>
      <w:r w:rsidRPr="0008466D">
        <w:rPr>
          <w:rFonts w:ascii="Cambria" w:hAnsi="Cambria"/>
          <w:sz w:val="24"/>
          <w:szCs w:val="24"/>
        </w:rPr>
        <w:t xml:space="preserve"> l’opportunit</w:t>
      </w:r>
      <w:r w:rsidR="007E7F94" w:rsidRPr="0008466D">
        <w:rPr>
          <w:rFonts w:ascii="Cambria" w:hAnsi="Cambria"/>
          <w:sz w:val="24"/>
          <w:szCs w:val="24"/>
        </w:rPr>
        <w:t>é</w:t>
      </w:r>
      <w:r w:rsidRPr="0008466D">
        <w:rPr>
          <w:rFonts w:ascii="Cambria" w:hAnsi="Cambria"/>
          <w:sz w:val="24"/>
          <w:szCs w:val="24"/>
        </w:rPr>
        <w:t xml:space="preserve"> d’apporter ma contribution sur le d</w:t>
      </w:r>
      <w:r w:rsidR="007E7F94" w:rsidRPr="0008466D">
        <w:rPr>
          <w:rFonts w:ascii="Cambria" w:hAnsi="Cambria"/>
          <w:sz w:val="24"/>
          <w:szCs w:val="24"/>
        </w:rPr>
        <w:t>é</w:t>
      </w:r>
      <w:r w:rsidRPr="0008466D">
        <w:rPr>
          <w:rFonts w:ascii="Cambria" w:hAnsi="Cambria"/>
          <w:sz w:val="24"/>
          <w:szCs w:val="24"/>
        </w:rPr>
        <w:t xml:space="preserve">bat autour des performances </w:t>
      </w:r>
      <w:r w:rsidR="007E7F94" w:rsidRPr="0008466D">
        <w:rPr>
          <w:rFonts w:ascii="Cambria" w:hAnsi="Cambria"/>
          <w:sz w:val="24"/>
          <w:szCs w:val="24"/>
        </w:rPr>
        <w:t>é</w:t>
      </w:r>
      <w:r w:rsidRPr="0008466D">
        <w:rPr>
          <w:rFonts w:ascii="Cambria" w:hAnsi="Cambria"/>
          <w:sz w:val="24"/>
          <w:szCs w:val="24"/>
        </w:rPr>
        <w:t xml:space="preserve">conomiques du </w:t>
      </w:r>
      <w:r w:rsidR="0008466D" w:rsidRPr="0008466D">
        <w:rPr>
          <w:rFonts w:ascii="Cambria" w:hAnsi="Cambria"/>
          <w:sz w:val="24"/>
          <w:szCs w:val="24"/>
        </w:rPr>
        <w:t>Sénégal</w:t>
      </w:r>
      <w:r w:rsidRPr="0008466D">
        <w:rPr>
          <w:rFonts w:ascii="Cambria" w:hAnsi="Cambria"/>
          <w:sz w:val="24"/>
          <w:szCs w:val="24"/>
        </w:rPr>
        <w:t xml:space="preserve">. </w:t>
      </w:r>
      <w:r w:rsidR="004F0D15" w:rsidRPr="0008466D">
        <w:rPr>
          <w:rFonts w:ascii="Cambria" w:hAnsi="Cambria"/>
          <w:sz w:val="24"/>
          <w:szCs w:val="24"/>
        </w:rPr>
        <w:t xml:space="preserve">Dans cet article, nous nous pencherons sur quelques indicateurs </w:t>
      </w:r>
      <w:r w:rsidR="007E7F94" w:rsidRPr="0008466D">
        <w:rPr>
          <w:rFonts w:ascii="Cambria" w:hAnsi="Cambria"/>
          <w:sz w:val="24"/>
          <w:szCs w:val="24"/>
        </w:rPr>
        <w:t>é</w:t>
      </w:r>
      <w:r w:rsidR="004F0D15" w:rsidRPr="0008466D">
        <w:rPr>
          <w:rFonts w:ascii="Cambria" w:hAnsi="Cambria"/>
          <w:sz w:val="24"/>
          <w:szCs w:val="24"/>
        </w:rPr>
        <w:t>conomiques pour comprendre l’</w:t>
      </w:r>
      <w:r w:rsidR="007E7F94" w:rsidRPr="0008466D">
        <w:rPr>
          <w:rFonts w:ascii="Cambria" w:hAnsi="Cambria"/>
          <w:sz w:val="24"/>
          <w:szCs w:val="24"/>
        </w:rPr>
        <w:t>é</w:t>
      </w:r>
      <w:r w:rsidR="004F0D15" w:rsidRPr="0008466D">
        <w:rPr>
          <w:rFonts w:ascii="Cambria" w:hAnsi="Cambria"/>
          <w:sz w:val="24"/>
          <w:szCs w:val="24"/>
        </w:rPr>
        <w:t xml:space="preserve">volution </w:t>
      </w:r>
      <w:r w:rsidR="007E7F94" w:rsidRPr="0008466D">
        <w:rPr>
          <w:rFonts w:ascii="Cambria" w:hAnsi="Cambria"/>
          <w:sz w:val="24"/>
          <w:szCs w:val="24"/>
        </w:rPr>
        <w:t>é</w:t>
      </w:r>
      <w:r w:rsidR="004F0D15" w:rsidRPr="0008466D">
        <w:rPr>
          <w:rFonts w:ascii="Cambria" w:hAnsi="Cambria"/>
          <w:sz w:val="24"/>
          <w:szCs w:val="24"/>
        </w:rPr>
        <w:t xml:space="preserve">conomique du </w:t>
      </w:r>
      <w:r w:rsidR="0008466D" w:rsidRPr="0008466D">
        <w:rPr>
          <w:rFonts w:ascii="Cambria" w:hAnsi="Cambria"/>
          <w:sz w:val="24"/>
          <w:szCs w:val="24"/>
        </w:rPr>
        <w:t>Sénégal</w:t>
      </w:r>
      <w:r w:rsidR="004F0D15" w:rsidRPr="0008466D">
        <w:rPr>
          <w:rFonts w:ascii="Cambria" w:hAnsi="Cambria"/>
          <w:sz w:val="24"/>
          <w:szCs w:val="24"/>
        </w:rPr>
        <w:t xml:space="preserve"> au cours des 10 derni</w:t>
      </w:r>
      <w:r w:rsidR="007E7F94" w:rsidRPr="0008466D">
        <w:rPr>
          <w:rFonts w:ascii="Cambria" w:hAnsi="Cambria"/>
          <w:sz w:val="24"/>
          <w:szCs w:val="24"/>
        </w:rPr>
        <w:t>è</w:t>
      </w:r>
      <w:r w:rsidR="004F0D15" w:rsidRPr="0008466D">
        <w:rPr>
          <w:rFonts w:ascii="Cambria" w:hAnsi="Cambria"/>
          <w:sz w:val="24"/>
          <w:szCs w:val="24"/>
        </w:rPr>
        <w:t>res ann</w:t>
      </w:r>
      <w:r w:rsidR="007E7F94" w:rsidRPr="0008466D">
        <w:rPr>
          <w:rFonts w:ascii="Cambria" w:hAnsi="Cambria"/>
          <w:sz w:val="24"/>
          <w:szCs w:val="24"/>
        </w:rPr>
        <w:t>é</w:t>
      </w:r>
      <w:r w:rsidR="004F0D15" w:rsidRPr="0008466D">
        <w:rPr>
          <w:rFonts w:ascii="Cambria" w:hAnsi="Cambria"/>
          <w:sz w:val="24"/>
          <w:szCs w:val="24"/>
        </w:rPr>
        <w:t>es et tenter de r</w:t>
      </w:r>
      <w:r w:rsidR="007E7F94" w:rsidRPr="0008466D">
        <w:rPr>
          <w:rFonts w:ascii="Cambria" w:hAnsi="Cambria"/>
          <w:sz w:val="24"/>
          <w:szCs w:val="24"/>
        </w:rPr>
        <w:t>é</w:t>
      </w:r>
      <w:r w:rsidR="004F0D15" w:rsidRPr="0008466D">
        <w:rPr>
          <w:rFonts w:ascii="Cambria" w:hAnsi="Cambria"/>
          <w:sz w:val="24"/>
          <w:szCs w:val="24"/>
        </w:rPr>
        <w:t>pondre aux questions suivantes :</w:t>
      </w:r>
    </w:p>
    <w:p w:rsidR="00C76BF2" w:rsidRPr="0008466D" w:rsidRDefault="00D81FDC" w:rsidP="00762FC2">
      <w:pPr>
        <w:pStyle w:val="ListParagraph"/>
        <w:numPr>
          <w:ilvl w:val="0"/>
          <w:numId w:val="1"/>
        </w:numPr>
        <w:ind w:left="720"/>
        <w:jc w:val="both"/>
        <w:rPr>
          <w:rFonts w:ascii="Cambria" w:hAnsi="Cambria"/>
          <w:sz w:val="24"/>
          <w:szCs w:val="24"/>
        </w:rPr>
      </w:pPr>
      <w:r w:rsidRPr="0008466D">
        <w:rPr>
          <w:rFonts w:ascii="Cambria" w:hAnsi="Cambria"/>
          <w:sz w:val="24"/>
          <w:szCs w:val="24"/>
        </w:rPr>
        <w:t xml:space="preserve">Le </w:t>
      </w:r>
      <w:r w:rsidR="0008466D" w:rsidRPr="0008466D">
        <w:rPr>
          <w:rFonts w:ascii="Cambria" w:hAnsi="Cambria"/>
          <w:sz w:val="24"/>
          <w:szCs w:val="24"/>
        </w:rPr>
        <w:t>Sénégal</w:t>
      </w:r>
      <w:r w:rsidRPr="0008466D">
        <w:rPr>
          <w:rFonts w:ascii="Cambria" w:hAnsi="Cambria"/>
          <w:sz w:val="24"/>
          <w:szCs w:val="24"/>
        </w:rPr>
        <w:t xml:space="preserve"> a-t-il connu, sous le r</w:t>
      </w:r>
      <w:r w:rsidR="007E7F94" w:rsidRPr="0008466D">
        <w:rPr>
          <w:rFonts w:ascii="Cambria" w:hAnsi="Cambria"/>
          <w:sz w:val="24"/>
          <w:szCs w:val="24"/>
        </w:rPr>
        <w:t>é</w:t>
      </w:r>
      <w:r w:rsidR="00762FC2">
        <w:rPr>
          <w:rFonts w:ascii="Cambria" w:hAnsi="Cambria"/>
          <w:sz w:val="24"/>
          <w:szCs w:val="24"/>
        </w:rPr>
        <w:t xml:space="preserve">gime du </w:t>
      </w:r>
      <w:r w:rsidR="001278D7">
        <w:rPr>
          <w:rFonts w:ascii="Cambria" w:hAnsi="Cambria"/>
          <w:sz w:val="24"/>
          <w:szCs w:val="24"/>
        </w:rPr>
        <w:t>Président</w:t>
      </w:r>
      <w:r w:rsidRPr="0008466D">
        <w:rPr>
          <w:rFonts w:ascii="Cambria" w:hAnsi="Cambria"/>
          <w:sz w:val="24"/>
          <w:szCs w:val="24"/>
        </w:rPr>
        <w:t xml:space="preserve"> Wade, des taux de croissance suffisamment forts </w:t>
      </w:r>
      <w:r w:rsidR="004F0D15" w:rsidRPr="0008466D">
        <w:rPr>
          <w:rFonts w:ascii="Cambria" w:hAnsi="Cambria"/>
          <w:sz w:val="24"/>
          <w:szCs w:val="24"/>
        </w:rPr>
        <w:t>qui auraient permis de</w:t>
      </w:r>
      <w:r w:rsidRPr="0008466D">
        <w:rPr>
          <w:rFonts w:ascii="Cambria" w:hAnsi="Cambria"/>
          <w:sz w:val="24"/>
          <w:szCs w:val="24"/>
        </w:rPr>
        <w:t xml:space="preserve"> g</w:t>
      </w:r>
      <w:r w:rsidR="007E7F94" w:rsidRPr="0008466D">
        <w:rPr>
          <w:rFonts w:ascii="Cambria" w:hAnsi="Cambria"/>
          <w:sz w:val="24"/>
          <w:szCs w:val="24"/>
        </w:rPr>
        <w:t>é</w:t>
      </w:r>
      <w:r w:rsidRPr="0008466D">
        <w:rPr>
          <w:rFonts w:ascii="Cambria" w:hAnsi="Cambria"/>
          <w:sz w:val="24"/>
          <w:szCs w:val="24"/>
        </w:rPr>
        <w:t>n</w:t>
      </w:r>
      <w:r w:rsidR="007E7F94" w:rsidRPr="0008466D">
        <w:rPr>
          <w:rFonts w:ascii="Cambria" w:hAnsi="Cambria"/>
          <w:sz w:val="24"/>
          <w:szCs w:val="24"/>
        </w:rPr>
        <w:t>é</w:t>
      </w:r>
      <w:r w:rsidRPr="0008466D">
        <w:rPr>
          <w:rFonts w:ascii="Cambria" w:hAnsi="Cambria"/>
          <w:sz w:val="24"/>
          <w:szCs w:val="24"/>
        </w:rPr>
        <w:t xml:space="preserve">rer </w:t>
      </w:r>
      <w:r w:rsidR="004F0D15" w:rsidRPr="0008466D">
        <w:rPr>
          <w:rFonts w:ascii="Cambria" w:hAnsi="Cambria"/>
          <w:sz w:val="24"/>
          <w:szCs w:val="24"/>
        </w:rPr>
        <w:t xml:space="preserve">suffisamment </w:t>
      </w:r>
      <w:r w:rsidRPr="0008466D">
        <w:rPr>
          <w:rFonts w:ascii="Cambria" w:hAnsi="Cambria"/>
          <w:sz w:val="24"/>
          <w:szCs w:val="24"/>
        </w:rPr>
        <w:t>d</w:t>
      </w:r>
      <w:r w:rsidR="004F0D15" w:rsidRPr="0008466D">
        <w:rPr>
          <w:rFonts w:ascii="Cambria" w:hAnsi="Cambria"/>
          <w:sz w:val="24"/>
          <w:szCs w:val="24"/>
        </w:rPr>
        <w:t>’</w:t>
      </w:r>
      <w:r w:rsidRPr="0008466D">
        <w:rPr>
          <w:rFonts w:ascii="Cambria" w:hAnsi="Cambria"/>
          <w:sz w:val="24"/>
          <w:szCs w:val="24"/>
        </w:rPr>
        <w:t xml:space="preserve">emplois ? </w:t>
      </w:r>
    </w:p>
    <w:p w:rsidR="00C76BF2" w:rsidRPr="0008466D" w:rsidRDefault="007E7F94" w:rsidP="00762FC2">
      <w:pPr>
        <w:pStyle w:val="ListParagraph"/>
        <w:numPr>
          <w:ilvl w:val="0"/>
          <w:numId w:val="1"/>
        </w:numPr>
        <w:ind w:left="720"/>
        <w:jc w:val="both"/>
        <w:rPr>
          <w:rFonts w:ascii="Cambria" w:hAnsi="Cambria"/>
          <w:sz w:val="24"/>
          <w:szCs w:val="24"/>
        </w:rPr>
      </w:pPr>
      <w:r w:rsidRPr="0008466D">
        <w:rPr>
          <w:rFonts w:ascii="Cambria" w:hAnsi="Cambria"/>
          <w:sz w:val="24"/>
          <w:szCs w:val="24"/>
        </w:rPr>
        <w:t>Ces taux de crois</w:t>
      </w:r>
      <w:r w:rsidR="00D81FDC" w:rsidRPr="0008466D">
        <w:rPr>
          <w:rFonts w:ascii="Cambria" w:hAnsi="Cambria"/>
          <w:sz w:val="24"/>
          <w:szCs w:val="24"/>
        </w:rPr>
        <w:t>sance ont-ils permis de r</w:t>
      </w:r>
      <w:r w:rsidRPr="0008466D">
        <w:rPr>
          <w:rFonts w:ascii="Cambria" w:hAnsi="Cambria"/>
          <w:sz w:val="24"/>
          <w:szCs w:val="24"/>
        </w:rPr>
        <w:t>é</w:t>
      </w:r>
      <w:r w:rsidR="005C4AD9">
        <w:rPr>
          <w:rFonts w:ascii="Cambria" w:hAnsi="Cambria"/>
          <w:sz w:val="24"/>
          <w:szCs w:val="24"/>
        </w:rPr>
        <w:t>duire la proportion des ménages pauvres</w:t>
      </w:r>
      <w:r w:rsidR="00D81FDC" w:rsidRPr="0008466D">
        <w:rPr>
          <w:rFonts w:ascii="Cambria" w:hAnsi="Cambria"/>
          <w:sz w:val="24"/>
          <w:szCs w:val="24"/>
        </w:rPr>
        <w:t> </w:t>
      </w:r>
      <w:r w:rsidR="004F0D15" w:rsidRPr="0008466D">
        <w:rPr>
          <w:rFonts w:ascii="Cambria" w:hAnsi="Cambria"/>
          <w:sz w:val="24"/>
          <w:szCs w:val="24"/>
        </w:rPr>
        <w:t xml:space="preserve">au </w:t>
      </w:r>
      <w:r w:rsidR="0008466D" w:rsidRPr="0008466D">
        <w:rPr>
          <w:rFonts w:ascii="Cambria" w:hAnsi="Cambria"/>
          <w:sz w:val="24"/>
          <w:szCs w:val="24"/>
        </w:rPr>
        <w:t>Sénégal</w:t>
      </w:r>
      <w:r w:rsidR="00D81FDC" w:rsidRPr="0008466D">
        <w:rPr>
          <w:rFonts w:ascii="Cambria" w:hAnsi="Cambria"/>
          <w:sz w:val="24"/>
          <w:szCs w:val="24"/>
        </w:rPr>
        <w:t xml:space="preserve">? </w:t>
      </w:r>
    </w:p>
    <w:p w:rsidR="00C76BF2" w:rsidRPr="0008466D" w:rsidRDefault="004F0D15" w:rsidP="00C76BF2">
      <w:pPr>
        <w:pStyle w:val="ListParagraph"/>
        <w:numPr>
          <w:ilvl w:val="0"/>
          <w:numId w:val="1"/>
        </w:numPr>
        <w:ind w:left="0" w:firstLine="0"/>
        <w:jc w:val="both"/>
        <w:rPr>
          <w:rFonts w:ascii="Cambria" w:hAnsi="Cambria"/>
          <w:sz w:val="24"/>
          <w:szCs w:val="24"/>
        </w:rPr>
      </w:pPr>
      <w:r w:rsidRPr="0008466D">
        <w:rPr>
          <w:rFonts w:ascii="Cambria" w:hAnsi="Cambria"/>
          <w:sz w:val="24"/>
          <w:szCs w:val="24"/>
        </w:rPr>
        <w:t xml:space="preserve">Le </w:t>
      </w:r>
      <w:r w:rsidR="00BD1238">
        <w:rPr>
          <w:rFonts w:ascii="Cambria" w:hAnsi="Cambria"/>
          <w:sz w:val="24"/>
          <w:szCs w:val="24"/>
        </w:rPr>
        <w:t xml:space="preserve">déficit budgétaire et le </w:t>
      </w:r>
      <w:r w:rsidRPr="0008466D">
        <w:rPr>
          <w:rFonts w:ascii="Cambria" w:hAnsi="Cambria"/>
          <w:sz w:val="24"/>
          <w:szCs w:val="24"/>
        </w:rPr>
        <w:t xml:space="preserve">niveau actuel de la dette publique </w:t>
      </w:r>
      <w:r w:rsidR="00BD1238">
        <w:rPr>
          <w:rFonts w:ascii="Cambria" w:hAnsi="Cambria"/>
          <w:sz w:val="24"/>
          <w:szCs w:val="24"/>
        </w:rPr>
        <w:t>sont</w:t>
      </w:r>
      <w:r w:rsidRPr="0008466D">
        <w:rPr>
          <w:rFonts w:ascii="Cambria" w:hAnsi="Cambria"/>
          <w:sz w:val="24"/>
          <w:szCs w:val="24"/>
        </w:rPr>
        <w:t>-il</w:t>
      </w:r>
      <w:r w:rsidR="00CB0327">
        <w:rPr>
          <w:rFonts w:ascii="Cambria" w:hAnsi="Cambria"/>
          <w:sz w:val="24"/>
          <w:szCs w:val="24"/>
        </w:rPr>
        <w:t>s</w:t>
      </w:r>
      <w:r w:rsidRPr="0008466D">
        <w:rPr>
          <w:rFonts w:ascii="Cambria" w:hAnsi="Cambria"/>
          <w:sz w:val="24"/>
          <w:szCs w:val="24"/>
        </w:rPr>
        <w:t xml:space="preserve"> soutenable</w:t>
      </w:r>
      <w:r w:rsidR="00762FC2">
        <w:rPr>
          <w:rFonts w:ascii="Cambria" w:hAnsi="Cambria"/>
          <w:sz w:val="24"/>
          <w:szCs w:val="24"/>
        </w:rPr>
        <w:t>s</w:t>
      </w:r>
      <w:r w:rsidRPr="0008466D">
        <w:rPr>
          <w:rFonts w:ascii="Cambria" w:hAnsi="Cambria"/>
          <w:sz w:val="24"/>
          <w:szCs w:val="24"/>
        </w:rPr>
        <w:t xml:space="preserve">? </w:t>
      </w:r>
    </w:p>
    <w:p w:rsidR="00C76BF2" w:rsidRPr="0008466D" w:rsidRDefault="00D81FDC" w:rsidP="00C76BF2">
      <w:pPr>
        <w:pStyle w:val="ListParagraph"/>
        <w:numPr>
          <w:ilvl w:val="0"/>
          <w:numId w:val="1"/>
        </w:numPr>
        <w:ind w:left="0" w:firstLine="0"/>
        <w:jc w:val="both"/>
        <w:rPr>
          <w:rFonts w:ascii="Cambria" w:hAnsi="Cambria"/>
          <w:sz w:val="24"/>
          <w:szCs w:val="24"/>
        </w:rPr>
      </w:pPr>
      <w:r w:rsidRPr="0008466D">
        <w:rPr>
          <w:rFonts w:ascii="Cambria" w:hAnsi="Cambria"/>
          <w:sz w:val="24"/>
          <w:szCs w:val="24"/>
        </w:rPr>
        <w:t>L’environnement des affaires s’est-il am</w:t>
      </w:r>
      <w:r w:rsidR="007E7F94" w:rsidRPr="0008466D">
        <w:rPr>
          <w:rFonts w:ascii="Cambria" w:hAnsi="Cambria"/>
          <w:sz w:val="24"/>
          <w:szCs w:val="24"/>
        </w:rPr>
        <w:t>é</w:t>
      </w:r>
      <w:r w:rsidRPr="0008466D">
        <w:rPr>
          <w:rFonts w:ascii="Cambria" w:hAnsi="Cambria"/>
          <w:sz w:val="24"/>
          <w:szCs w:val="24"/>
        </w:rPr>
        <w:t>lior</w:t>
      </w:r>
      <w:r w:rsidR="007E7F94" w:rsidRPr="0008466D">
        <w:rPr>
          <w:rFonts w:ascii="Cambria" w:hAnsi="Cambria"/>
          <w:sz w:val="24"/>
          <w:szCs w:val="24"/>
        </w:rPr>
        <w:t>é</w:t>
      </w:r>
      <w:r w:rsidRPr="0008466D">
        <w:rPr>
          <w:rFonts w:ascii="Cambria" w:hAnsi="Cambria"/>
          <w:sz w:val="24"/>
          <w:szCs w:val="24"/>
        </w:rPr>
        <w:t> </w:t>
      </w:r>
      <w:r w:rsidR="004F0D15" w:rsidRPr="0008466D">
        <w:rPr>
          <w:rFonts w:ascii="Cambria" w:hAnsi="Cambria"/>
          <w:sz w:val="24"/>
          <w:szCs w:val="24"/>
        </w:rPr>
        <w:t xml:space="preserve">au cours des 10 </w:t>
      </w:r>
      <w:r w:rsidR="0008466D" w:rsidRPr="0008466D">
        <w:rPr>
          <w:rFonts w:ascii="Cambria" w:hAnsi="Cambria"/>
          <w:sz w:val="24"/>
          <w:szCs w:val="24"/>
        </w:rPr>
        <w:t>dernières</w:t>
      </w:r>
      <w:r w:rsidR="004F0D15" w:rsidRPr="0008466D">
        <w:rPr>
          <w:rFonts w:ascii="Cambria" w:hAnsi="Cambria"/>
          <w:sz w:val="24"/>
          <w:szCs w:val="24"/>
        </w:rPr>
        <w:t xml:space="preserve"> ann</w:t>
      </w:r>
      <w:r w:rsidR="007E7F94" w:rsidRPr="0008466D">
        <w:rPr>
          <w:rFonts w:ascii="Cambria" w:hAnsi="Cambria"/>
          <w:sz w:val="24"/>
          <w:szCs w:val="24"/>
        </w:rPr>
        <w:t>é</w:t>
      </w:r>
      <w:r w:rsidR="004F0D15" w:rsidRPr="0008466D">
        <w:rPr>
          <w:rFonts w:ascii="Cambria" w:hAnsi="Cambria"/>
          <w:sz w:val="24"/>
          <w:szCs w:val="24"/>
        </w:rPr>
        <w:t>es</w:t>
      </w:r>
      <w:r w:rsidRPr="0008466D">
        <w:rPr>
          <w:rFonts w:ascii="Cambria" w:hAnsi="Cambria"/>
          <w:sz w:val="24"/>
          <w:szCs w:val="24"/>
        </w:rPr>
        <w:t>?</w:t>
      </w:r>
      <w:r w:rsidR="004F0D15" w:rsidRPr="0008466D">
        <w:rPr>
          <w:rFonts w:ascii="Cambria" w:hAnsi="Cambria"/>
          <w:sz w:val="24"/>
          <w:szCs w:val="24"/>
        </w:rPr>
        <w:t xml:space="preserve"> </w:t>
      </w:r>
    </w:p>
    <w:p w:rsidR="00C76BF2" w:rsidRPr="0008466D" w:rsidRDefault="00C76BF2" w:rsidP="00762FC2">
      <w:pPr>
        <w:pStyle w:val="ListParagraph"/>
        <w:numPr>
          <w:ilvl w:val="0"/>
          <w:numId w:val="1"/>
        </w:numPr>
        <w:ind w:left="720"/>
        <w:jc w:val="both"/>
        <w:rPr>
          <w:rFonts w:ascii="Cambria" w:hAnsi="Cambria"/>
          <w:sz w:val="24"/>
          <w:szCs w:val="24"/>
        </w:rPr>
      </w:pPr>
      <w:r w:rsidRPr="0008466D">
        <w:rPr>
          <w:rFonts w:ascii="Cambria" w:hAnsi="Cambria"/>
          <w:sz w:val="24"/>
          <w:szCs w:val="24"/>
        </w:rPr>
        <w:t xml:space="preserve">Comment le </w:t>
      </w:r>
      <w:r w:rsidR="0008466D" w:rsidRPr="0008466D">
        <w:rPr>
          <w:rFonts w:ascii="Cambria" w:hAnsi="Cambria"/>
          <w:sz w:val="24"/>
          <w:szCs w:val="24"/>
        </w:rPr>
        <w:t>Sénégal</w:t>
      </w:r>
      <w:r w:rsidRPr="0008466D">
        <w:rPr>
          <w:rFonts w:ascii="Cambria" w:hAnsi="Cambria"/>
          <w:sz w:val="24"/>
          <w:szCs w:val="24"/>
        </w:rPr>
        <w:t xml:space="preserve"> se compare t-il </w:t>
      </w:r>
      <w:r w:rsidR="00DF2805" w:rsidRPr="0008466D">
        <w:rPr>
          <w:rFonts w:ascii="Cambria" w:hAnsi="Cambria"/>
          <w:sz w:val="24"/>
          <w:szCs w:val="24"/>
        </w:rPr>
        <w:t>à</w:t>
      </w:r>
      <w:r w:rsidRPr="0008466D">
        <w:rPr>
          <w:rFonts w:ascii="Cambria" w:hAnsi="Cambria"/>
          <w:sz w:val="24"/>
          <w:szCs w:val="24"/>
        </w:rPr>
        <w:t xml:space="preserve"> ses voisins en </w:t>
      </w:r>
      <w:r w:rsidR="00762FC2">
        <w:rPr>
          <w:rFonts w:ascii="Cambria" w:hAnsi="Cambria"/>
          <w:sz w:val="24"/>
          <w:szCs w:val="24"/>
        </w:rPr>
        <w:t xml:space="preserve">termes de performances </w:t>
      </w:r>
      <w:r w:rsidR="007E7F94" w:rsidRPr="0008466D">
        <w:rPr>
          <w:rFonts w:ascii="Cambria" w:hAnsi="Cambria"/>
          <w:sz w:val="24"/>
          <w:szCs w:val="24"/>
        </w:rPr>
        <w:t>é</w:t>
      </w:r>
      <w:r w:rsidRPr="0008466D">
        <w:rPr>
          <w:rFonts w:ascii="Cambria" w:hAnsi="Cambria"/>
          <w:sz w:val="24"/>
          <w:szCs w:val="24"/>
        </w:rPr>
        <w:t>conomique</w:t>
      </w:r>
      <w:r w:rsidR="00762FC2">
        <w:rPr>
          <w:rFonts w:ascii="Cambria" w:hAnsi="Cambria"/>
          <w:sz w:val="24"/>
          <w:szCs w:val="24"/>
        </w:rPr>
        <w:t>s</w:t>
      </w:r>
      <w:r w:rsidRPr="0008466D">
        <w:rPr>
          <w:rFonts w:ascii="Cambria" w:hAnsi="Cambria"/>
          <w:sz w:val="24"/>
          <w:szCs w:val="24"/>
        </w:rPr>
        <w:t> ?</w:t>
      </w:r>
    </w:p>
    <w:p w:rsidR="00674C9C" w:rsidRPr="0008466D" w:rsidRDefault="00674C9C" w:rsidP="00674C9C">
      <w:pPr>
        <w:pStyle w:val="ListParagraph"/>
        <w:ind w:left="0"/>
        <w:jc w:val="both"/>
        <w:rPr>
          <w:rFonts w:ascii="Cambria" w:hAnsi="Cambria"/>
          <w:sz w:val="24"/>
          <w:szCs w:val="24"/>
        </w:rPr>
      </w:pPr>
    </w:p>
    <w:p w:rsidR="00674C9C" w:rsidRPr="0008466D" w:rsidRDefault="00674C9C" w:rsidP="00C45845">
      <w:pPr>
        <w:pStyle w:val="ListParagraph"/>
        <w:numPr>
          <w:ilvl w:val="0"/>
          <w:numId w:val="2"/>
        </w:numPr>
        <w:jc w:val="both"/>
        <w:rPr>
          <w:rFonts w:ascii="Cambria" w:hAnsi="Cambria"/>
          <w:b/>
          <w:sz w:val="24"/>
          <w:szCs w:val="24"/>
        </w:rPr>
      </w:pPr>
      <w:r w:rsidRPr="0008466D">
        <w:rPr>
          <w:rFonts w:ascii="Cambria" w:hAnsi="Cambria"/>
          <w:b/>
          <w:sz w:val="24"/>
          <w:szCs w:val="24"/>
        </w:rPr>
        <w:t xml:space="preserve">Croissance </w:t>
      </w:r>
      <w:r w:rsidR="0008466D" w:rsidRPr="0008466D">
        <w:rPr>
          <w:rFonts w:ascii="Cambria" w:hAnsi="Cambria"/>
          <w:b/>
          <w:sz w:val="24"/>
          <w:szCs w:val="24"/>
        </w:rPr>
        <w:t>économique</w:t>
      </w:r>
    </w:p>
    <w:p w:rsidR="00674C9C" w:rsidRPr="0008466D" w:rsidRDefault="00674C9C" w:rsidP="00674C9C">
      <w:pPr>
        <w:pStyle w:val="ListParagraph"/>
        <w:ind w:left="0"/>
        <w:jc w:val="both"/>
        <w:rPr>
          <w:rFonts w:ascii="Cambria" w:hAnsi="Cambria"/>
          <w:sz w:val="24"/>
          <w:szCs w:val="24"/>
        </w:rPr>
      </w:pPr>
    </w:p>
    <w:p w:rsidR="00674C9C" w:rsidRPr="0008466D" w:rsidRDefault="00674C9C" w:rsidP="00674C9C">
      <w:pPr>
        <w:pStyle w:val="ListParagraph"/>
        <w:ind w:left="0"/>
        <w:jc w:val="both"/>
        <w:rPr>
          <w:rFonts w:ascii="Cambria" w:hAnsi="Cambria"/>
          <w:sz w:val="24"/>
          <w:szCs w:val="24"/>
        </w:rPr>
      </w:pPr>
      <w:r w:rsidRPr="0008466D">
        <w:rPr>
          <w:rFonts w:ascii="Cambria" w:hAnsi="Cambria"/>
          <w:sz w:val="24"/>
          <w:szCs w:val="24"/>
        </w:rPr>
        <w:t xml:space="preserve">En 1999, </w:t>
      </w:r>
      <w:r w:rsidR="00DF2805" w:rsidRPr="0008466D">
        <w:rPr>
          <w:rFonts w:ascii="Cambria" w:hAnsi="Cambria"/>
          <w:sz w:val="24"/>
          <w:szCs w:val="24"/>
        </w:rPr>
        <w:t>à</w:t>
      </w:r>
      <w:r w:rsidRPr="0008466D">
        <w:rPr>
          <w:rFonts w:ascii="Cambria" w:hAnsi="Cambria"/>
          <w:sz w:val="24"/>
          <w:szCs w:val="24"/>
        </w:rPr>
        <w:t xml:space="preserve"> la veille des </w:t>
      </w:r>
      <w:r w:rsidR="007E7F94" w:rsidRPr="0008466D">
        <w:rPr>
          <w:rFonts w:ascii="Cambria" w:hAnsi="Cambria"/>
          <w:sz w:val="24"/>
          <w:szCs w:val="24"/>
        </w:rPr>
        <w:t>é</w:t>
      </w:r>
      <w:r w:rsidRPr="0008466D">
        <w:rPr>
          <w:rFonts w:ascii="Cambria" w:hAnsi="Cambria"/>
          <w:sz w:val="24"/>
          <w:szCs w:val="24"/>
        </w:rPr>
        <w:t>lections Pr</w:t>
      </w:r>
      <w:r w:rsidR="007E7F94" w:rsidRPr="0008466D">
        <w:rPr>
          <w:rFonts w:ascii="Cambria" w:hAnsi="Cambria"/>
          <w:sz w:val="24"/>
          <w:szCs w:val="24"/>
        </w:rPr>
        <w:t>é</w:t>
      </w:r>
      <w:r w:rsidRPr="0008466D">
        <w:rPr>
          <w:rFonts w:ascii="Cambria" w:hAnsi="Cambria"/>
          <w:sz w:val="24"/>
          <w:szCs w:val="24"/>
        </w:rPr>
        <w:t xml:space="preserve">sidentielles de 2000, le </w:t>
      </w:r>
      <w:r w:rsidR="0008466D" w:rsidRPr="0008466D">
        <w:rPr>
          <w:rFonts w:ascii="Cambria" w:hAnsi="Cambria"/>
          <w:sz w:val="24"/>
          <w:szCs w:val="24"/>
        </w:rPr>
        <w:t>Sénégal</w:t>
      </w:r>
      <w:r w:rsidRPr="0008466D">
        <w:rPr>
          <w:rFonts w:ascii="Cambria" w:hAnsi="Cambria"/>
          <w:sz w:val="24"/>
          <w:szCs w:val="24"/>
        </w:rPr>
        <w:t xml:space="preserve"> avait </w:t>
      </w:r>
      <w:r w:rsidR="004F15C2">
        <w:rPr>
          <w:rFonts w:ascii="Cambria" w:hAnsi="Cambria"/>
          <w:sz w:val="24"/>
          <w:szCs w:val="24"/>
        </w:rPr>
        <w:t>connu</w:t>
      </w:r>
      <w:r w:rsidRPr="0008466D">
        <w:rPr>
          <w:rFonts w:ascii="Cambria" w:hAnsi="Cambria"/>
          <w:sz w:val="24"/>
          <w:szCs w:val="24"/>
        </w:rPr>
        <w:t xml:space="preserve"> un taux de croissance annu</w:t>
      </w:r>
      <w:r w:rsidR="00C94B89">
        <w:rPr>
          <w:rFonts w:ascii="Cambria" w:hAnsi="Cambria"/>
          <w:sz w:val="24"/>
          <w:szCs w:val="24"/>
        </w:rPr>
        <w:t>el de 6.3%. En 2000, ce taux a chuté</w:t>
      </w:r>
      <w:r w:rsidRPr="0008466D">
        <w:rPr>
          <w:rFonts w:ascii="Cambria" w:hAnsi="Cambria"/>
          <w:sz w:val="24"/>
          <w:szCs w:val="24"/>
        </w:rPr>
        <w:t xml:space="preserve"> </w:t>
      </w:r>
      <w:r w:rsidR="007E7F94" w:rsidRPr="0008466D">
        <w:rPr>
          <w:rFonts w:ascii="Cambria" w:hAnsi="Cambria"/>
          <w:sz w:val="24"/>
          <w:szCs w:val="24"/>
        </w:rPr>
        <w:t>à</w:t>
      </w:r>
      <w:r w:rsidRPr="0008466D">
        <w:rPr>
          <w:rFonts w:ascii="Cambria" w:hAnsi="Cambria"/>
          <w:sz w:val="24"/>
          <w:szCs w:val="24"/>
        </w:rPr>
        <w:t xml:space="preserve"> 3.2%</w:t>
      </w:r>
      <w:r w:rsidR="00C94B89">
        <w:rPr>
          <w:rFonts w:ascii="Cambria" w:hAnsi="Cambria"/>
          <w:sz w:val="24"/>
          <w:szCs w:val="24"/>
        </w:rPr>
        <w:t xml:space="preserve"> avant d’enregistrer une hausse</w:t>
      </w:r>
      <w:r w:rsidR="00D04CE4">
        <w:rPr>
          <w:rFonts w:ascii="Cambria" w:hAnsi="Cambria"/>
          <w:sz w:val="24"/>
          <w:szCs w:val="24"/>
        </w:rPr>
        <w:t xml:space="preserve"> </w:t>
      </w:r>
      <w:r w:rsidR="00C94B89">
        <w:rPr>
          <w:rFonts w:ascii="Cambria" w:hAnsi="Cambria"/>
          <w:sz w:val="24"/>
          <w:szCs w:val="24"/>
        </w:rPr>
        <w:t>de 1.4% en 2005</w:t>
      </w:r>
      <w:r w:rsidR="004F15C2">
        <w:rPr>
          <w:rFonts w:ascii="Cambria" w:hAnsi="Cambria"/>
          <w:sz w:val="24"/>
          <w:szCs w:val="24"/>
        </w:rPr>
        <w:t>,</w:t>
      </w:r>
      <w:r w:rsidR="00C94B89">
        <w:rPr>
          <w:rFonts w:ascii="Cambria" w:hAnsi="Cambria"/>
          <w:sz w:val="24"/>
          <w:szCs w:val="24"/>
        </w:rPr>
        <w:t xml:space="preserve"> ramenant le taux de croissance </w:t>
      </w:r>
      <w:r w:rsidR="004F15C2">
        <w:rPr>
          <w:rFonts w:ascii="Cambria" w:hAnsi="Cambria"/>
          <w:sz w:val="24"/>
          <w:szCs w:val="24"/>
        </w:rPr>
        <w:t>à</w:t>
      </w:r>
      <w:r w:rsidR="00C94B89">
        <w:rPr>
          <w:rFonts w:ascii="Cambria" w:hAnsi="Cambria"/>
          <w:sz w:val="24"/>
          <w:szCs w:val="24"/>
        </w:rPr>
        <w:t xml:space="preserve"> 5.6% avant de se stabiliser </w:t>
      </w:r>
      <w:r w:rsidR="00D633FB" w:rsidRPr="0008466D">
        <w:rPr>
          <w:rFonts w:ascii="Cambria" w:hAnsi="Cambria"/>
          <w:sz w:val="24"/>
          <w:szCs w:val="24"/>
        </w:rPr>
        <w:t>à</w:t>
      </w:r>
      <w:r w:rsidRPr="0008466D">
        <w:rPr>
          <w:rFonts w:ascii="Cambria" w:hAnsi="Cambria"/>
          <w:sz w:val="24"/>
          <w:szCs w:val="24"/>
        </w:rPr>
        <w:t xml:space="preserve"> 4.2% en 2010. Lorsque </w:t>
      </w:r>
      <w:r w:rsidR="007E7F94" w:rsidRPr="0008466D">
        <w:rPr>
          <w:rFonts w:ascii="Cambria" w:hAnsi="Cambria"/>
          <w:sz w:val="24"/>
          <w:szCs w:val="24"/>
        </w:rPr>
        <w:t>l’on rapporte ce taux de croiss</w:t>
      </w:r>
      <w:r w:rsidRPr="0008466D">
        <w:rPr>
          <w:rFonts w:ascii="Cambria" w:hAnsi="Cambria"/>
          <w:sz w:val="24"/>
          <w:szCs w:val="24"/>
        </w:rPr>
        <w:t xml:space="preserve">ance </w:t>
      </w:r>
      <w:r w:rsidR="0008466D" w:rsidRPr="0008466D">
        <w:rPr>
          <w:rFonts w:ascii="Cambria" w:hAnsi="Cambria"/>
          <w:sz w:val="24"/>
          <w:szCs w:val="24"/>
        </w:rPr>
        <w:t>économique</w:t>
      </w:r>
      <w:r w:rsidRPr="0008466D">
        <w:rPr>
          <w:rFonts w:ascii="Cambria" w:hAnsi="Cambria"/>
          <w:sz w:val="24"/>
          <w:szCs w:val="24"/>
        </w:rPr>
        <w:t xml:space="preserve"> </w:t>
      </w:r>
      <w:r w:rsidR="0008466D" w:rsidRPr="0008466D">
        <w:rPr>
          <w:rFonts w:ascii="Cambria" w:hAnsi="Cambria"/>
          <w:sz w:val="24"/>
          <w:szCs w:val="24"/>
        </w:rPr>
        <w:t>à</w:t>
      </w:r>
      <w:r w:rsidRPr="0008466D">
        <w:rPr>
          <w:rFonts w:ascii="Cambria" w:hAnsi="Cambria"/>
          <w:sz w:val="24"/>
          <w:szCs w:val="24"/>
        </w:rPr>
        <w:t xml:space="preserve"> la croissance d</w:t>
      </w:r>
      <w:r w:rsidR="007E7F94" w:rsidRPr="0008466D">
        <w:rPr>
          <w:rFonts w:ascii="Cambria" w:hAnsi="Cambria"/>
          <w:sz w:val="24"/>
          <w:szCs w:val="24"/>
        </w:rPr>
        <w:t>é</w:t>
      </w:r>
      <w:r w:rsidRPr="0008466D">
        <w:rPr>
          <w:rFonts w:ascii="Cambria" w:hAnsi="Cambria"/>
          <w:sz w:val="24"/>
          <w:szCs w:val="24"/>
        </w:rPr>
        <w:t xml:space="preserve">mographique, le taux de croissance par </w:t>
      </w:r>
      <w:r w:rsidR="0008466D" w:rsidRPr="0008466D">
        <w:rPr>
          <w:rFonts w:ascii="Cambria" w:hAnsi="Cambria"/>
          <w:sz w:val="24"/>
          <w:szCs w:val="24"/>
        </w:rPr>
        <w:t>tête</w:t>
      </w:r>
      <w:r w:rsidRPr="0008466D">
        <w:rPr>
          <w:rFonts w:ascii="Cambria" w:hAnsi="Cambria"/>
          <w:sz w:val="24"/>
          <w:szCs w:val="24"/>
        </w:rPr>
        <w:t xml:space="preserve"> d’habitant est </w:t>
      </w:r>
      <w:r w:rsidR="00F30A4D" w:rsidRPr="0008466D">
        <w:rPr>
          <w:rFonts w:ascii="Cambria" w:hAnsi="Cambria"/>
          <w:sz w:val="24"/>
          <w:szCs w:val="24"/>
        </w:rPr>
        <w:t>passé</w:t>
      </w:r>
      <w:r w:rsidR="00F30A4D">
        <w:rPr>
          <w:rFonts w:ascii="Cambria" w:hAnsi="Cambria"/>
          <w:sz w:val="24"/>
          <w:szCs w:val="24"/>
        </w:rPr>
        <w:t>,</w:t>
      </w:r>
      <w:r w:rsidRPr="0008466D">
        <w:rPr>
          <w:rFonts w:ascii="Cambria" w:hAnsi="Cambria"/>
          <w:sz w:val="24"/>
          <w:szCs w:val="24"/>
        </w:rPr>
        <w:t xml:space="preserve"> en 1999</w:t>
      </w:r>
      <w:r w:rsidR="00F30A4D">
        <w:rPr>
          <w:rFonts w:ascii="Cambria" w:hAnsi="Cambria"/>
          <w:sz w:val="24"/>
          <w:szCs w:val="24"/>
        </w:rPr>
        <w:t>,</w:t>
      </w:r>
      <w:r w:rsidRPr="0008466D">
        <w:rPr>
          <w:rFonts w:ascii="Cambria" w:hAnsi="Cambria"/>
          <w:sz w:val="24"/>
          <w:szCs w:val="24"/>
        </w:rPr>
        <w:t xml:space="preserve"> de 3.7% </w:t>
      </w:r>
      <w:r w:rsidR="007E7F94" w:rsidRPr="0008466D">
        <w:rPr>
          <w:rFonts w:ascii="Cambria" w:hAnsi="Cambria"/>
          <w:sz w:val="24"/>
          <w:szCs w:val="24"/>
        </w:rPr>
        <w:t>à</w:t>
      </w:r>
      <w:r w:rsidRPr="0008466D">
        <w:rPr>
          <w:rFonts w:ascii="Cambria" w:hAnsi="Cambria"/>
          <w:sz w:val="24"/>
          <w:szCs w:val="24"/>
        </w:rPr>
        <w:t xml:space="preserve"> 0.6% en 2000</w:t>
      </w:r>
      <w:r w:rsidR="008A3E0A" w:rsidRPr="0008466D">
        <w:rPr>
          <w:rFonts w:ascii="Cambria" w:hAnsi="Cambria"/>
          <w:sz w:val="24"/>
          <w:szCs w:val="24"/>
        </w:rPr>
        <w:t xml:space="preserve"> puis </w:t>
      </w:r>
      <w:r w:rsidR="007E7F94" w:rsidRPr="0008466D">
        <w:rPr>
          <w:rFonts w:ascii="Cambria" w:hAnsi="Cambria"/>
          <w:sz w:val="24"/>
          <w:szCs w:val="24"/>
        </w:rPr>
        <w:t>à</w:t>
      </w:r>
      <w:r w:rsidR="008A3E0A" w:rsidRPr="0008466D">
        <w:rPr>
          <w:rFonts w:ascii="Cambria" w:hAnsi="Cambria"/>
          <w:sz w:val="24"/>
          <w:szCs w:val="24"/>
        </w:rPr>
        <w:t xml:space="preserve"> 2.8% en 2005 avant de retomber </w:t>
      </w:r>
      <w:r w:rsidR="007E7F94" w:rsidRPr="0008466D">
        <w:rPr>
          <w:rFonts w:ascii="Cambria" w:hAnsi="Cambria"/>
          <w:sz w:val="24"/>
          <w:szCs w:val="24"/>
        </w:rPr>
        <w:t>à</w:t>
      </w:r>
      <w:r w:rsidR="008A3E0A" w:rsidRPr="0008466D">
        <w:rPr>
          <w:rFonts w:ascii="Cambria" w:hAnsi="Cambria"/>
          <w:sz w:val="24"/>
          <w:szCs w:val="24"/>
        </w:rPr>
        <w:t xml:space="preserve"> 1.4% en 2010. Ces chiffres traduisent le fait que les richesses cr</w:t>
      </w:r>
      <w:r w:rsidR="007E7F94" w:rsidRPr="0008466D">
        <w:rPr>
          <w:rFonts w:ascii="Cambria" w:hAnsi="Cambria"/>
          <w:sz w:val="24"/>
          <w:szCs w:val="24"/>
        </w:rPr>
        <w:t>éé</w:t>
      </w:r>
      <w:r w:rsidR="008A3E0A" w:rsidRPr="0008466D">
        <w:rPr>
          <w:rFonts w:ascii="Cambria" w:hAnsi="Cambria"/>
          <w:sz w:val="24"/>
          <w:szCs w:val="24"/>
        </w:rPr>
        <w:t xml:space="preserve">es sur le territoire </w:t>
      </w:r>
      <w:r w:rsidR="0008466D" w:rsidRPr="0008466D">
        <w:rPr>
          <w:rFonts w:ascii="Cambria" w:hAnsi="Cambria"/>
          <w:sz w:val="24"/>
          <w:szCs w:val="24"/>
        </w:rPr>
        <w:t>Sénégalais</w:t>
      </w:r>
      <w:r w:rsidR="008A3E0A" w:rsidRPr="0008466D">
        <w:rPr>
          <w:rFonts w:ascii="Cambria" w:hAnsi="Cambria"/>
          <w:sz w:val="24"/>
          <w:szCs w:val="24"/>
        </w:rPr>
        <w:t xml:space="preserve"> n’augmentent pas au </w:t>
      </w:r>
      <w:r w:rsidR="0008466D" w:rsidRPr="0008466D">
        <w:rPr>
          <w:rFonts w:ascii="Cambria" w:hAnsi="Cambria"/>
          <w:sz w:val="24"/>
          <w:szCs w:val="24"/>
        </w:rPr>
        <w:t>même</w:t>
      </w:r>
      <w:r w:rsidR="008A3E0A" w:rsidRPr="0008466D">
        <w:rPr>
          <w:rFonts w:ascii="Cambria" w:hAnsi="Cambria"/>
          <w:sz w:val="24"/>
          <w:szCs w:val="24"/>
        </w:rPr>
        <w:t xml:space="preserve"> rythme que la c</w:t>
      </w:r>
      <w:r w:rsidR="00493521" w:rsidRPr="0008466D">
        <w:rPr>
          <w:rFonts w:ascii="Cambria" w:hAnsi="Cambria"/>
          <w:sz w:val="24"/>
          <w:szCs w:val="24"/>
        </w:rPr>
        <w:t>roissance de la population. En cons</w:t>
      </w:r>
      <w:r w:rsidR="007E7F94" w:rsidRPr="0008466D">
        <w:rPr>
          <w:rFonts w:ascii="Cambria" w:hAnsi="Cambria"/>
          <w:sz w:val="24"/>
          <w:szCs w:val="24"/>
        </w:rPr>
        <w:t>é</w:t>
      </w:r>
      <w:r w:rsidR="00493521" w:rsidRPr="0008466D">
        <w:rPr>
          <w:rFonts w:ascii="Cambria" w:hAnsi="Cambria"/>
          <w:sz w:val="24"/>
          <w:szCs w:val="24"/>
        </w:rPr>
        <w:t>quence, le nombre d’emplois g</w:t>
      </w:r>
      <w:r w:rsidR="007E7F94" w:rsidRPr="0008466D">
        <w:rPr>
          <w:rFonts w:ascii="Cambria" w:hAnsi="Cambria"/>
          <w:sz w:val="24"/>
          <w:szCs w:val="24"/>
        </w:rPr>
        <w:t>é</w:t>
      </w:r>
      <w:r w:rsidR="00493521" w:rsidRPr="0008466D">
        <w:rPr>
          <w:rFonts w:ascii="Cambria" w:hAnsi="Cambria"/>
          <w:sz w:val="24"/>
          <w:szCs w:val="24"/>
        </w:rPr>
        <w:t>n</w:t>
      </w:r>
      <w:r w:rsidR="007E7F94" w:rsidRPr="0008466D">
        <w:rPr>
          <w:rFonts w:ascii="Cambria" w:hAnsi="Cambria"/>
          <w:sz w:val="24"/>
          <w:szCs w:val="24"/>
        </w:rPr>
        <w:t>é</w:t>
      </w:r>
      <w:r w:rsidR="00493521" w:rsidRPr="0008466D">
        <w:rPr>
          <w:rFonts w:ascii="Cambria" w:hAnsi="Cambria"/>
          <w:sz w:val="24"/>
          <w:szCs w:val="24"/>
        </w:rPr>
        <w:t>r</w:t>
      </w:r>
      <w:r w:rsidR="007E7F94" w:rsidRPr="0008466D">
        <w:rPr>
          <w:rFonts w:ascii="Cambria" w:hAnsi="Cambria"/>
          <w:sz w:val="24"/>
          <w:szCs w:val="24"/>
        </w:rPr>
        <w:t>é</w:t>
      </w:r>
      <w:r w:rsidR="00493521" w:rsidRPr="0008466D">
        <w:rPr>
          <w:rFonts w:ascii="Cambria" w:hAnsi="Cambria"/>
          <w:sz w:val="24"/>
          <w:szCs w:val="24"/>
        </w:rPr>
        <w:t xml:space="preserve">s par cette faible croissance </w:t>
      </w:r>
      <w:r w:rsidR="007E7F94" w:rsidRPr="0008466D">
        <w:rPr>
          <w:rFonts w:ascii="Cambria" w:hAnsi="Cambria"/>
          <w:sz w:val="24"/>
          <w:szCs w:val="24"/>
        </w:rPr>
        <w:t>é</w:t>
      </w:r>
      <w:r w:rsidR="00493521" w:rsidRPr="0008466D">
        <w:rPr>
          <w:rFonts w:ascii="Cambria" w:hAnsi="Cambria"/>
          <w:sz w:val="24"/>
          <w:szCs w:val="24"/>
        </w:rPr>
        <w:t>conomi</w:t>
      </w:r>
      <w:r w:rsidR="009E1D1B" w:rsidRPr="0008466D">
        <w:rPr>
          <w:rFonts w:ascii="Cambria" w:hAnsi="Cambria"/>
          <w:sz w:val="24"/>
          <w:szCs w:val="24"/>
        </w:rPr>
        <w:t xml:space="preserve">que laissent une bonne partie de la </w:t>
      </w:r>
      <w:r w:rsidR="00493521" w:rsidRPr="0008466D">
        <w:rPr>
          <w:rFonts w:ascii="Cambria" w:hAnsi="Cambria"/>
          <w:sz w:val="24"/>
          <w:szCs w:val="24"/>
        </w:rPr>
        <w:t>jeunesse</w:t>
      </w:r>
      <w:r w:rsidR="009E1D1B" w:rsidRPr="0008466D">
        <w:rPr>
          <w:rFonts w:ascii="Cambria" w:hAnsi="Cambria"/>
          <w:sz w:val="24"/>
          <w:szCs w:val="24"/>
        </w:rPr>
        <w:t xml:space="preserve"> –qui faudrait-il le rappeler constitue plus de 65% de la population- </w:t>
      </w:r>
      <w:r w:rsidR="0008466D" w:rsidRPr="0008466D">
        <w:rPr>
          <w:rFonts w:ascii="Cambria" w:hAnsi="Cambria"/>
          <w:sz w:val="24"/>
          <w:szCs w:val="24"/>
        </w:rPr>
        <w:t>désœuvrée</w:t>
      </w:r>
      <w:r w:rsidR="00F30A4D">
        <w:rPr>
          <w:rFonts w:ascii="Cambria" w:hAnsi="Cambria"/>
          <w:sz w:val="24"/>
          <w:szCs w:val="24"/>
        </w:rPr>
        <w:t>,</w:t>
      </w:r>
      <w:r w:rsidR="009E1D1B" w:rsidRPr="0008466D">
        <w:rPr>
          <w:rFonts w:ascii="Cambria" w:hAnsi="Cambria"/>
          <w:sz w:val="24"/>
          <w:szCs w:val="24"/>
        </w:rPr>
        <w:t xml:space="preserve"> dans une pr</w:t>
      </w:r>
      <w:r w:rsidR="00A26DB1" w:rsidRPr="0008466D">
        <w:rPr>
          <w:rFonts w:ascii="Cambria" w:hAnsi="Cambria"/>
          <w:sz w:val="24"/>
          <w:szCs w:val="24"/>
        </w:rPr>
        <w:t>é</w:t>
      </w:r>
      <w:r w:rsidR="009E1D1B" w:rsidRPr="0008466D">
        <w:rPr>
          <w:rFonts w:ascii="Cambria" w:hAnsi="Cambria"/>
          <w:sz w:val="24"/>
          <w:szCs w:val="24"/>
        </w:rPr>
        <w:t>carit</w:t>
      </w:r>
      <w:r w:rsidR="00A26DB1" w:rsidRPr="0008466D">
        <w:rPr>
          <w:rFonts w:ascii="Cambria" w:hAnsi="Cambria"/>
          <w:sz w:val="24"/>
          <w:szCs w:val="24"/>
        </w:rPr>
        <w:t>é</w:t>
      </w:r>
      <w:r w:rsidR="009E1D1B" w:rsidRPr="0008466D">
        <w:rPr>
          <w:rFonts w:ascii="Cambria" w:hAnsi="Cambria"/>
          <w:sz w:val="24"/>
          <w:szCs w:val="24"/>
        </w:rPr>
        <w:t xml:space="preserve"> de sous-emploi, ou dans la d</w:t>
      </w:r>
      <w:r w:rsidR="00A26DB1" w:rsidRPr="0008466D">
        <w:rPr>
          <w:rFonts w:ascii="Cambria" w:hAnsi="Cambria"/>
          <w:sz w:val="24"/>
          <w:szCs w:val="24"/>
        </w:rPr>
        <w:t>é</w:t>
      </w:r>
      <w:r w:rsidR="009E1D1B" w:rsidRPr="0008466D">
        <w:rPr>
          <w:rFonts w:ascii="Cambria" w:hAnsi="Cambria"/>
          <w:sz w:val="24"/>
          <w:szCs w:val="24"/>
        </w:rPr>
        <w:t>brouillardise de l’informel.</w:t>
      </w:r>
      <w:r w:rsidR="000B0607" w:rsidRPr="0008466D">
        <w:rPr>
          <w:rFonts w:ascii="Cambria" w:hAnsi="Cambria"/>
          <w:sz w:val="24"/>
          <w:szCs w:val="24"/>
        </w:rPr>
        <w:t xml:space="preserve"> Selon des estimations, le taux de </w:t>
      </w:r>
      <w:r w:rsidR="0008466D" w:rsidRPr="0008466D">
        <w:rPr>
          <w:rFonts w:ascii="Cambria" w:hAnsi="Cambria"/>
          <w:sz w:val="24"/>
          <w:szCs w:val="24"/>
        </w:rPr>
        <w:t>chômage</w:t>
      </w:r>
      <w:r w:rsidR="000B0607" w:rsidRPr="0008466D">
        <w:rPr>
          <w:rFonts w:ascii="Cambria" w:hAnsi="Cambria"/>
          <w:sz w:val="24"/>
          <w:szCs w:val="24"/>
        </w:rPr>
        <w:t xml:space="preserve"> s’</w:t>
      </w:r>
      <w:r w:rsidR="0008466D" w:rsidRPr="0008466D">
        <w:rPr>
          <w:rFonts w:ascii="Cambria" w:hAnsi="Cambria"/>
          <w:sz w:val="24"/>
          <w:szCs w:val="24"/>
        </w:rPr>
        <w:t>élèverait</w:t>
      </w:r>
      <w:r w:rsidR="000B0607" w:rsidRPr="0008466D">
        <w:rPr>
          <w:rFonts w:ascii="Cambria" w:hAnsi="Cambria"/>
          <w:sz w:val="24"/>
          <w:szCs w:val="24"/>
        </w:rPr>
        <w:t xml:space="preserve"> a environ 40%. C’est ainsi que le ratio de d</w:t>
      </w:r>
      <w:r w:rsidR="00A26DB1" w:rsidRPr="0008466D">
        <w:rPr>
          <w:rFonts w:ascii="Cambria" w:hAnsi="Cambria"/>
          <w:sz w:val="24"/>
          <w:szCs w:val="24"/>
        </w:rPr>
        <w:t>é</w:t>
      </w:r>
      <w:r w:rsidR="000B0607" w:rsidRPr="0008466D">
        <w:rPr>
          <w:rFonts w:ascii="Cambria" w:hAnsi="Cambria"/>
          <w:sz w:val="24"/>
          <w:szCs w:val="24"/>
        </w:rPr>
        <w:t xml:space="preserve">pendance reste toujours </w:t>
      </w:r>
      <w:r w:rsidR="0008466D" w:rsidRPr="0008466D">
        <w:rPr>
          <w:rFonts w:ascii="Cambria" w:hAnsi="Cambria"/>
          <w:sz w:val="24"/>
          <w:szCs w:val="24"/>
        </w:rPr>
        <w:t>élevé</w:t>
      </w:r>
      <w:r w:rsidR="000B0607" w:rsidRPr="0008466D">
        <w:rPr>
          <w:rFonts w:ascii="Cambria" w:hAnsi="Cambria"/>
          <w:sz w:val="24"/>
          <w:szCs w:val="24"/>
        </w:rPr>
        <w:t xml:space="preserve"> </w:t>
      </w:r>
      <w:r w:rsidR="00F30A4D" w:rsidRPr="0008466D">
        <w:rPr>
          <w:rFonts w:ascii="Cambria" w:hAnsi="Cambria"/>
          <w:sz w:val="24"/>
          <w:szCs w:val="24"/>
        </w:rPr>
        <w:t>à</w:t>
      </w:r>
      <w:r w:rsidR="000B0607" w:rsidRPr="0008466D">
        <w:rPr>
          <w:rFonts w:ascii="Cambria" w:hAnsi="Cambria"/>
          <w:sz w:val="24"/>
          <w:szCs w:val="24"/>
        </w:rPr>
        <w:t xml:space="preserve"> 85.5%</w:t>
      </w:r>
      <w:r w:rsidR="00F316C6" w:rsidRPr="0008466D">
        <w:rPr>
          <w:rFonts w:ascii="Cambria" w:hAnsi="Cambria"/>
          <w:sz w:val="24"/>
          <w:szCs w:val="24"/>
        </w:rPr>
        <w:t xml:space="preserve"> en 2010</w:t>
      </w:r>
      <w:r w:rsidR="000B0607" w:rsidRPr="0008466D">
        <w:rPr>
          <w:rFonts w:ascii="Cambria" w:hAnsi="Cambria"/>
          <w:sz w:val="24"/>
          <w:szCs w:val="24"/>
        </w:rPr>
        <w:t>. En d’autres termes, plus de 85</w:t>
      </w:r>
      <w:r w:rsidR="00F316C6" w:rsidRPr="0008466D">
        <w:rPr>
          <w:rFonts w:ascii="Cambria" w:hAnsi="Cambria"/>
          <w:sz w:val="24"/>
          <w:szCs w:val="24"/>
        </w:rPr>
        <w:t xml:space="preserve">% de la population au </w:t>
      </w:r>
      <w:r w:rsidR="0008466D" w:rsidRPr="0008466D">
        <w:rPr>
          <w:rFonts w:ascii="Cambria" w:hAnsi="Cambria"/>
          <w:sz w:val="24"/>
          <w:szCs w:val="24"/>
        </w:rPr>
        <w:t>Sénégal</w:t>
      </w:r>
      <w:r w:rsidR="000B0607" w:rsidRPr="0008466D">
        <w:rPr>
          <w:rFonts w:ascii="Cambria" w:hAnsi="Cambria"/>
          <w:sz w:val="24"/>
          <w:szCs w:val="24"/>
        </w:rPr>
        <w:t xml:space="preserve"> d</w:t>
      </w:r>
      <w:r w:rsidR="00A26DB1" w:rsidRPr="0008466D">
        <w:rPr>
          <w:rFonts w:ascii="Cambria" w:hAnsi="Cambria"/>
          <w:sz w:val="24"/>
          <w:szCs w:val="24"/>
        </w:rPr>
        <w:t>é</w:t>
      </w:r>
      <w:r w:rsidR="000B0607" w:rsidRPr="0008466D">
        <w:rPr>
          <w:rFonts w:ascii="Cambria" w:hAnsi="Cambria"/>
          <w:sz w:val="24"/>
          <w:szCs w:val="24"/>
        </w:rPr>
        <w:t>pendent financi</w:t>
      </w:r>
      <w:r w:rsidR="007E7F94" w:rsidRPr="0008466D">
        <w:rPr>
          <w:rFonts w:ascii="Cambria" w:hAnsi="Cambria"/>
          <w:sz w:val="24"/>
          <w:szCs w:val="24"/>
        </w:rPr>
        <w:t>è</w:t>
      </w:r>
      <w:r w:rsidR="000B0607" w:rsidRPr="0008466D">
        <w:rPr>
          <w:rFonts w:ascii="Cambria" w:hAnsi="Cambria"/>
          <w:sz w:val="24"/>
          <w:szCs w:val="24"/>
        </w:rPr>
        <w:t>rement</w:t>
      </w:r>
      <w:r w:rsidR="00F316C6" w:rsidRPr="0008466D">
        <w:rPr>
          <w:rFonts w:ascii="Cambria" w:hAnsi="Cambria"/>
          <w:sz w:val="24"/>
          <w:szCs w:val="24"/>
        </w:rPr>
        <w:t xml:space="preserve"> de l’infime minorit</w:t>
      </w:r>
      <w:r w:rsidR="00A26DB1" w:rsidRPr="0008466D">
        <w:rPr>
          <w:rFonts w:ascii="Cambria" w:hAnsi="Cambria"/>
          <w:sz w:val="24"/>
          <w:szCs w:val="24"/>
        </w:rPr>
        <w:t>é</w:t>
      </w:r>
      <w:r w:rsidR="00F316C6" w:rsidRPr="0008466D">
        <w:rPr>
          <w:rFonts w:ascii="Cambria" w:hAnsi="Cambria"/>
          <w:sz w:val="24"/>
          <w:szCs w:val="24"/>
        </w:rPr>
        <w:t xml:space="preserve"> des membres de la famille qui ont eu la chance de trouver un emploi.</w:t>
      </w:r>
    </w:p>
    <w:p w:rsidR="009D07F1" w:rsidRPr="0008466D" w:rsidRDefault="009D07F1" w:rsidP="00674C9C">
      <w:pPr>
        <w:pStyle w:val="ListParagraph"/>
        <w:ind w:left="0"/>
        <w:jc w:val="both"/>
        <w:rPr>
          <w:rFonts w:ascii="Cambria" w:hAnsi="Cambria"/>
          <w:sz w:val="24"/>
          <w:szCs w:val="24"/>
        </w:rPr>
      </w:pPr>
    </w:p>
    <w:p w:rsidR="00F30A4D" w:rsidRDefault="00F316C6" w:rsidP="00674C9C">
      <w:pPr>
        <w:pStyle w:val="ListParagraph"/>
        <w:ind w:left="0"/>
        <w:jc w:val="both"/>
        <w:rPr>
          <w:rFonts w:ascii="Cambria" w:hAnsi="Cambria"/>
          <w:sz w:val="24"/>
          <w:szCs w:val="24"/>
        </w:rPr>
      </w:pPr>
      <w:r w:rsidRPr="0008466D">
        <w:rPr>
          <w:rFonts w:ascii="Cambria" w:hAnsi="Cambria"/>
          <w:sz w:val="24"/>
          <w:szCs w:val="24"/>
        </w:rPr>
        <w:t xml:space="preserve">Comment le </w:t>
      </w:r>
      <w:r w:rsidR="0008466D" w:rsidRPr="0008466D">
        <w:rPr>
          <w:rFonts w:ascii="Cambria" w:hAnsi="Cambria"/>
          <w:sz w:val="24"/>
          <w:szCs w:val="24"/>
        </w:rPr>
        <w:t>Sénégal</w:t>
      </w:r>
      <w:r w:rsidRPr="0008466D">
        <w:rPr>
          <w:rFonts w:ascii="Cambria" w:hAnsi="Cambria"/>
          <w:sz w:val="24"/>
          <w:szCs w:val="24"/>
        </w:rPr>
        <w:t xml:space="preserve"> se comporte t-il en mati</w:t>
      </w:r>
      <w:r w:rsidR="007E7F94" w:rsidRPr="0008466D">
        <w:rPr>
          <w:rFonts w:ascii="Cambria" w:hAnsi="Cambria"/>
          <w:sz w:val="24"/>
          <w:szCs w:val="24"/>
        </w:rPr>
        <w:t>è</w:t>
      </w:r>
      <w:r w:rsidRPr="0008466D">
        <w:rPr>
          <w:rFonts w:ascii="Cambria" w:hAnsi="Cambria"/>
          <w:sz w:val="24"/>
          <w:szCs w:val="24"/>
        </w:rPr>
        <w:t xml:space="preserve">re de croissance </w:t>
      </w:r>
      <w:r w:rsidR="00F30A4D" w:rsidRPr="0008466D">
        <w:rPr>
          <w:rFonts w:ascii="Cambria" w:hAnsi="Cambria"/>
          <w:sz w:val="24"/>
          <w:szCs w:val="24"/>
        </w:rPr>
        <w:t>comparé</w:t>
      </w:r>
      <w:r w:rsidRPr="0008466D">
        <w:rPr>
          <w:rFonts w:ascii="Cambria" w:hAnsi="Cambria"/>
          <w:sz w:val="24"/>
          <w:szCs w:val="24"/>
        </w:rPr>
        <w:t xml:space="preserve"> </w:t>
      </w:r>
      <w:r w:rsidR="007E7F94" w:rsidRPr="0008466D">
        <w:rPr>
          <w:rFonts w:ascii="Cambria" w:hAnsi="Cambria"/>
          <w:sz w:val="24"/>
          <w:szCs w:val="24"/>
        </w:rPr>
        <w:t>à</w:t>
      </w:r>
      <w:r w:rsidRPr="0008466D">
        <w:rPr>
          <w:rFonts w:ascii="Cambria" w:hAnsi="Cambria"/>
          <w:sz w:val="24"/>
          <w:szCs w:val="24"/>
        </w:rPr>
        <w:t xml:space="preserve"> ses voisins ?</w:t>
      </w:r>
      <w:r w:rsidR="009D07F1" w:rsidRPr="0008466D">
        <w:rPr>
          <w:rFonts w:ascii="Cambria" w:hAnsi="Cambria"/>
          <w:sz w:val="24"/>
          <w:szCs w:val="24"/>
        </w:rPr>
        <w:t xml:space="preserve"> Des pays comme le Cap-Vert ont pu r</w:t>
      </w:r>
      <w:r w:rsidR="00A26DB1" w:rsidRPr="0008466D">
        <w:rPr>
          <w:rFonts w:ascii="Cambria" w:hAnsi="Cambria"/>
          <w:sz w:val="24"/>
          <w:szCs w:val="24"/>
        </w:rPr>
        <w:t>é</w:t>
      </w:r>
      <w:r w:rsidR="009D07F1" w:rsidRPr="0008466D">
        <w:rPr>
          <w:rFonts w:ascii="Cambria" w:hAnsi="Cambria"/>
          <w:sz w:val="24"/>
          <w:szCs w:val="24"/>
        </w:rPr>
        <w:t xml:space="preserve">aliser des taux de croissance annuels par </w:t>
      </w:r>
      <w:r w:rsidR="0008466D" w:rsidRPr="0008466D">
        <w:rPr>
          <w:rFonts w:ascii="Cambria" w:hAnsi="Cambria"/>
          <w:sz w:val="24"/>
          <w:szCs w:val="24"/>
        </w:rPr>
        <w:t>tête</w:t>
      </w:r>
      <w:r w:rsidR="00F30A4D">
        <w:rPr>
          <w:rFonts w:ascii="Cambria" w:hAnsi="Cambria"/>
          <w:sz w:val="24"/>
          <w:szCs w:val="24"/>
        </w:rPr>
        <w:t xml:space="preserve"> d’habitant</w:t>
      </w:r>
      <w:r w:rsidR="009D07F1" w:rsidRPr="0008466D">
        <w:rPr>
          <w:rFonts w:ascii="Cambria" w:hAnsi="Cambria"/>
          <w:sz w:val="24"/>
          <w:szCs w:val="24"/>
        </w:rPr>
        <w:t xml:space="preserve"> qui oscillent entre 4.5 et 10.5% au cours des 10 derni</w:t>
      </w:r>
      <w:r w:rsidR="007E7F94" w:rsidRPr="0008466D">
        <w:rPr>
          <w:rFonts w:ascii="Cambria" w:hAnsi="Cambria"/>
          <w:sz w:val="24"/>
          <w:szCs w:val="24"/>
        </w:rPr>
        <w:t>è</w:t>
      </w:r>
      <w:r w:rsidR="009D07F1" w:rsidRPr="0008466D">
        <w:rPr>
          <w:rFonts w:ascii="Cambria" w:hAnsi="Cambria"/>
          <w:sz w:val="24"/>
          <w:szCs w:val="24"/>
        </w:rPr>
        <w:t>res. Cette forte croissance s’est naturellement</w:t>
      </w:r>
      <w:r w:rsidR="00F30A4D">
        <w:rPr>
          <w:rFonts w:ascii="Cambria" w:hAnsi="Cambria"/>
          <w:sz w:val="24"/>
          <w:szCs w:val="24"/>
        </w:rPr>
        <w:t xml:space="preserve"> </w:t>
      </w:r>
      <w:r w:rsidR="009D07F1" w:rsidRPr="0008466D">
        <w:rPr>
          <w:rFonts w:ascii="Cambria" w:hAnsi="Cambria"/>
          <w:sz w:val="24"/>
          <w:szCs w:val="24"/>
        </w:rPr>
        <w:t>traduite</w:t>
      </w:r>
      <w:r w:rsidR="00F30A4D" w:rsidRPr="00F30A4D">
        <w:rPr>
          <w:rFonts w:ascii="Cambria" w:hAnsi="Cambria"/>
          <w:sz w:val="24"/>
          <w:szCs w:val="24"/>
        </w:rPr>
        <w:t>, dans ces pays respectifs,</w:t>
      </w:r>
      <w:r w:rsidR="009D07F1" w:rsidRPr="0008466D">
        <w:rPr>
          <w:rFonts w:ascii="Cambria" w:hAnsi="Cambria"/>
          <w:sz w:val="24"/>
          <w:szCs w:val="24"/>
        </w:rPr>
        <w:t xml:space="preserve"> par une augmentation substantielle du</w:t>
      </w:r>
      <w:r w:rsidR="00FA41A8" w:rsidRPr="0008466D">
        <w:rPr>
          <w:rFonts w:ascii="Cambria" w:hAnsi="Cambria"/>
          <w:sz w:val="24"/>
          <w:szCs w:val="24"/>
        </w:rPr>
        <w:t xml:space="preserve"> nombre de nouveaux emplois cr</w:t>
      </w:r>
      <w:r w:rsidR="00A26DB1" w:rsidRPr="0008466D">
        <w:rPr>
          <w:rFonts w:ascii="Cambria" w:hAnsi="Cambria"/>
          <w:sz w:val="24"/>
          <w:szCs w:val="24"/>
        </w:rPr>
        <w:t>éé</w:t>
      </w:r>
      <w:r w:rsidR="009D07F1" w:rsidRPr="0008466D">
        <w:rPr>
          <w:rFonts w:ascii="Cambria" w:hAnsi="Cambria"/>
          <w:sz w:val="24"/>
          <w:szCs w:val="24"/>
        </w:rPr>
        <w:t xml:space="preserve">s. Il en est de </w:t>
      </w:r>
      <w:r w:rsidR="0008466D" w:rsidRPr="0008466D">
        <w:rPr>
          <w:rFonts w:ascii="Cambria" w:hAnsi="Cambria"/>
          <w:sz w:val="24"/>
          <w:szCs w:val="24"/>
        </w:rPr>
        <w:t>même</w:t>
      </w:r>
      <w:r w:rsidR="009D07F1" w:rsidRPr="0008466D">
        <w:rPr>
          <w:rFonts w:ascii="Cambria" w:hAnsi="Cambria"/>
          <w:sz w:val="24"/>
          <w:szCs w:val="24"/>
        </w:rPr>
        <w:t xml:space="preserve"> du Ghana et du Burkina Faso qui ont connu, durant la </w:t>
      </w:r>
      <w:r w:rsidR="0008466D" w:rsidRPr="0008466D">
        <w:rPr>
          <w:rFonts w:ascii="Cambria" w:hAnsi="Cambria"/>
          <w:sz w:val="24"/>
          <w:szCs w:val="24"/>
        </w:rPr>
        <w:t>même</w:t>
      </w:r>
      <w:r w:rsidR="009D07F1" w:rsidRPr="0008466D">
        <w:rPr>
          <w:rFonts w:ascii="Cambria" w:hAnsi="Cambria"/>
          <w:sz w:val="24"/>
          <w:szCs w:val="24"/>
        </w:rPr>
        <w:t xml:space="preserve"> p</w:t>
      </w:r>
      <w:r w:rsidR="00A26DB1" w:rsidRPr="0008466D">
        <w:rPr>
          <w:rFonts w:ascii="Cambria" w:hAnsi="Cambria"/>
          <w:sz w:val="24"/>
          <w:szCs w:val="24"/>
        </w:rPr>
        <w:t>ériode, des taux de croiss</w:t>
      </w:r>
      <w:r w:rsidR="009D07F1" w:rsidRPr="0008466D">
        <w:rPr>
          <w:rFonts w:ascii="Cambria" w:hAnsi="Cambria"/>
          <w:sz w:val="24"/>
          <w:szCs w:val="24"/>
        </w:rPr>
        <w:t xml:space="preserve">ance annuel par </w:t>
      </w:r>
      <w:r w:rsidR="0008466D" w:rsidRPr="0008466D">
        <w:rPr>
          <w:rFonts w:ascii="Cambria" w:hAnsi="Cambria"/>
          <w:sz w:val="24"/>
          <w:szCs w:val="24"/>
        </w:rPr>
        <w:t>tête</w:t>
      </w:r>
      <w:r w:rsidR="009D07F1" w:rsidRPr="0008466D">
        <w:rPr>
          <w:rFonts w:ascii="Cambria" w:hAnsi="Cambria"/>
          <w:sz w:val="24"/>
          <w:szCs w:val="24"/>
        </w:rPr>
        <w:t xml:space="preserve"> qui avoisinaient 6%. </w:t>
      </w:r>
      <w:r w:rsidR="009D07F1" w:rsidRPr="0008466D">
        <w:rPr>
          <w:rFonts w:ascii="Cambria" w:hAnsi="Cambria"/>
          <w:sz w:val="24"/>
          <w:szCs w:val="24"/>
        </w:rPr>
        <w:lastRenderedPageBreak/>
        <w:t xml:space="preserve">Le Mali qui </w:t>
      </w:r>
      <w:r w:rsidR="008D4DB5">
        <w:rPr>
          <w:rFonts w:ascii="Cambria" w:hAnsi="Cambria"/>
          <w:sz w:val="24"/>
          <w:szCs w:val="24"/>
        </w:rPr>
        <w:t>av</w:t>
      </w:r>
      <w:r w:rsidR="009D07F1" w:rsidRPr="0008466D">
        <w:rPr>
          <w:rFonts w:ascii="Cambria" w:hAnsi="Cambria"/>
          <w:sz w:val="24"/>
          <w:szCs w:val="24"/>
        </w:rPr>
        <w:t>ait</w:t>
      </w:r>
      <w:r w:rsidR="00FA41A8" w:rsidRPr="0008466D">
        <w:rPr>
          <w:rFonts w:ascii="Cambria" w:hAnsi="Cambria"/>
          <w:sz w:val="24"/>
          <w:szCs w:val="24"/>
        </w:rPr>
        <w:t>, en 1999,</w:t>
      </w:r>
      <w:r w:rsidR="009D07F1" w:rsidRPr="0008466D">
        <w:rPr>
          <w:rFonts w:ascii="Cambria" w:hAnsi="Cambria"/>
          <w:sz w:val="24"/>
          <w:szCs w:val="24"/>
        </w:rPr>
        <w:t xml:space="preserve"> la moiti</w:t>
      </w:r>
      <w:r w:rsidR="00A26DB1" w:rsidRPr="0008466D">
        <w:rPr>
          <w:rFonts w:ascii="Cambria" w:hAnsi="Cambria"/>
          <w:sz w:val="24"/>
          <w:szCs w:val="24"/>
        </w:rPr>
        <w:t>é</w:t>
      </w:r>
      <w:r w:rsidR="009D07F1" w:rsidRPr="0008466D">
        <w:rPr>
          <w:rFonts w:ascii="Cambria" w:hAnsi="Cambria"/>
          <w:sz w:val="24"/>
          <w:szCs w:val="24"/>
        </w:rPr>
        <w:t xml:space="preserve"> du PIB par </w:t>
      </w:r>
      <w:r w:rsidR="0008466D" w:rsidRPr="0008466D">
        <w:rPr>
          <w:rFonts w:ascii="Cambria" w:hAnsi="Cambria"/>
          <w:sz w:val="24"/>
          <w:szCs w:val="24"/>
        </w:rPr>
        <w:t>tête</w:t>
      </w:r>
      <w:r w:rsidR="00FA41A8" w:rsidRPr="0008466D">
        <w:rPr>
          <w:rFonts w:ascii="Cambria" w:hAnsi="Cambria"/>
          <w:sz w:val="24"/>
          <w:szCs w:val="24"/>
        </w:rPr>
        <w:t xml:space="preserve"> </w:t>
      </w:r>
      <w:r w:rsidR="008D4DB5">
        <w:rPr>
          <w:rFonts w:ascii="Cambria" w:hAnsi="Cambria"/>
          <w:sz w:val="24"/>
          <w:szCs w:val="24"/>
        </w:rPr>
        <w:t>du</w:t>
      </w:r>
      <w:r w:rsidR="00FA41A8" w:rsidRPr="0008466D">
        <w:rPr>
          <w:rFonts w:ascii="Cambria" w:hAnsi="Cambria"/>
          <w:sz w:val="24"/>
          <w:szCs w:val="24"/>
        </w:rPr>
        <w:t xml:space="preserve"> </w:t>
      </w:r>
      <w:r w:rsidR="0008466D" w:rsidRPr="0008466D">
        <w:rPr>
          <w:rFonts w:ascii="Cambria" w:hAnsi="Cambria"/>
          <w:sz w:val="24"/>
          <w:szCs w:val="24"/>
        </w:rPr>
        <w:t>Sénégal</w:t>
      </w:r>
      <w:r w:rsidR="00FA41A8" w:rsidRPr="0008466D">
        <w:rPr>
          <w:rFonts w:ascii="Cambria" w:hAnsi="Cambria"/>
          <w:sz w:val="24"/>
          <w:szCs w:val="24"/>
        </w:rPr>
        <w:t xml:space="preserve"> (US$ 555)</w:t>
      </w:r>
      <w:r w:rsidR="00D633FB">
        <w:rPr>
          <w:rFonts w:ascii="Cambria" w:hAnsi="Cambria"/>
          <w:sz w:val="24"/>
          <w:szCs w:val="24"/>
        </w:rPr>
        <w:t>,</w:t>
      </w:r>
      <w:r w:rsidR="00FA41A8" w:rsidRPr="0008466D">
        <w:rPr>
          <w:rFonts w:ascii="Cambria" w:hAnsi="Cambria"/>
          <w:sz w:val="24"/>
          <w:szCs w:val="24"/>
        </w:rPr>
        <w:t xml:space="preserve"> affiche </w:t>
      </w:r>
      <w:r w:rsidR="0008466D" w:rsidRPr="0008466D">
        <w:rPr>
          <w:rFonts w:ascii="Cambria" w:hAnsi="Cambria"/>
          <w:sz w:val="24"/>
          <w:szCs w:val="24"/>
        </w:rPr>
        <w:t>aujourd’hui</w:t>
      </w:r>
      <w:r w:rsidR="00FA41A8" w:rsidRPr="0008466D">
        <w:rPr>
          <w:rFonts w:ascii="Cambria" w:hAnsi="Cambria"/>
          <w:sz w:val="24"/>
          <w:szCs w:val="24"/>
        </w:rPr>
        <w:t xml:space="preserve"> les </w:t>
      </w:r>
      <w:r w:rsidR="0008466D" w:rsidRPr="0008466D">
        <w:rPr>
          <w:rFonts w:ascii="Cambria" w:hAnsi="Cambria"/>
          <w:sz w:val="24"/>
          <w:szCs w:val="24"/>
        </w:rPr>
        <w:t>mêmes</w:t>
      </w:r>
      <w:r w:rsidR="00FA41A8" w:rsidRPr="0008466D">
        <w:rPr>
          <w:rFonts w:ascii="Cambria" w:hAnsi="Cambria"/>
          <w:sz w:val="24"/>
          <w:szCs w:val="24"/>
        </w:rPr>
        <w:t xml:space="preserve"> taux de croissance que ce dernier.</w:t>
      </w:r>
      <w:r w:rsidR="008D4DB5">
        <w:rPr>
          <w:rFonts w:ascii="Cambria" w:hAnsi="Cambria"/>
          <w:sz w:val="24"/>
          <w:szCs w:val="24"/>
        </w:rPr>
        <w:t xml:space="preserve"> </w:t>
      </w:r>
    </w:p>
    <w:p w:rsidR="00F30A4D" w:rsidRDefault="00F30A4D" w:rsidP="00674C9C">
      <w:pPr>
        <w:pStyle w:val="ListParagraph"/>
        <w:ind w:left="0"/>
        <w:jc w:val="both"/>
        <w:rPr>
          <w:rFonts w:ascii="Cambria" w:hAnsi="Cambria"/>
          <w:sz w:val="24"/>
          <w:szCs w:val="24"/>
        </w:rPr>
      </w:pPr>
    </w:p>
    <w:p w:rsidR="00F316C6" w:rsidRPr="0008466D" w:rsidRDefault="008D4DB5" w:rsidP="00674C9C">
      <w:pPr>
        <w:pStyle w:val="ListParagraph"/>
        <w:ind w:left="0"/>
        <w:jc w:val="both"/>
        <w:rPr>
          <w:rFonts w:ascii="Cambria" w:hAnsi="Cambria"/>
          <w:sz w:val="24"/>
          <w:szCs w:val="24"/>
        </w:rPr>
      </w:pPr>
      <w:r>
        <w:rPr>
          <w:rFonts w:ascii="Cambria" w:hAnsi="Cambria"/>
          <w:sz w:val="24"/>
          <w:szCs w:val="24"/>
        </w:rPr>
        <w:t xml:space="preserve">De </w:t>
      </w:r>
      <w:r w:rsidR="00F30A4D">
        <w:rPr>
          <w:rFonts w:ascii="Cambria" w:hAnsi="Cambria"/>
          <w:sz w:val="24"/>
          <w:szCs w:val="24"/>
        </w:rPr>
        <w:t>façon</w:t>
      </w:r>
      <w:r>
        <w:rPr>
          <w:rFonts w:ascii="Cambria" w:hAnsi="Cambria"/>
          <w:sz w:val="24"/>
          <w:szCs w:val="24"/>
        </w:rPr>
        <w:t xml:space="preserve"> </w:t>
      </w:r>
      <w:r w:rsidR="00F30A4D">
        <w:rPr>
          <w:rFonts w:ascii="Cambria" w:hAnsi="Cambria"/>
          <w:sz w:val="24"/>
          <w:szCs w:val="24"/>
        </w:rPr>
        <w:t>générale</w:t>
      </w:r>
      <w:r>
        <w:rPr>
          <w:rFonts w:ascii="Cambria" w:hAnsi="Cambria"/>
          <w:sz w:val="24"/>
          <w:szCs w:val="24"/>
        </w:rPr>
        <w:t xml:space="preserve">, selon les </w:t>
      </w:r>
      <w:r w:rsidR="00F30A4D">
        <w:rPr>
          <w:rFonts w:ascii="Cambria" w:hAnsi="Cambria"/>
          <w:sz w:val="24"/>
          <w:szCs w:val="24"/>
        </w:rPr>
        <w:t>données</w:t>
      </w:r>
      <w:r>
        <w:rPr>
          <w:rFonts w:ascii="Cambria" w:hAnsi="Cambria"/>
          <w:sz w:val="24"/>
          <w:szCs w:val="24"/>
        </w:rPr>
        <w:t xml:space="preserve"> récentes publiées par la Banque Mondiale sur les Indicateurs de Développement Africain</w:t>
      </w:r>
      <w:r w:rsidR="00F30A4D">
        <w:rPr>
          <w:rFonts w:ascii="Cambria" w:hAnsi="Cambria"/>
          <w:sz w:val="24"/>
          <w:szCs w:val="24"/>
        </w:rPr>
        <w:t xml:space="preserve"> (2011)</w:t>
      </w:r>
      <w:r>
        <w:rPr>
          <w:rFonts w:ascii="Cambria" w:hAnsi="Cambria"/>
          <w:sz w:val="24"/>
          <w:szCs w:val="24"/>
        </w:rPr>
        <w:t xml:space="preserve">, on constate que les taux de croissance économiques du Sénégal sont </w:t>
      </w:r>
      <w:r w:rsidR="000D4169">
        <w:rPr>
          <w:rFonts w:ascii="Cambria" w:hAnsi="Cambria"/>
          <w:sz w:val="24"/>
          <w:szCs w:val="24"/>
        </w:rPr>
        <w:t>restés</w:t>
      </w:r>
      <w:r w:rsidR="00F30A4D">
        <w:rPr>
          <w:rFonts w:ascii="Cambria" w:hAnsi="Cambria"/>
          <w:sz w:val="24"/>
          <w:szCs w:val="24"/>
        </w:rPr>
        <w:t>, de façon constante,</w:t>
      </w:r>
      <w:r>
        <w:rPr>
          <w:rFonts w:ascii="Cambria" w:hAnsi="Cambria"/>
          <w:sz w:val="24"/>
          <w:szCs w:val="24"/>
        </w:rPr>
        <w:t xml:space="preserve"> en dessous de la moyen</w:t>
      </w:r>
      <w:r w:rsidR="003D65EA">
        <w:rPr>
          <w:rFonts w:ascii="Cambria" w:hAnsi="Cambria"/>
          <w:sz w:val="24"/>
          <w:szCs w:val="24"/>
        </w:rPr>
        <w:t xml:space="preserve">ne en Afrique </w:t>
      </w:r>
      <w:proofErr w:type="spellStart"/>
      <w:r w:rsidR="003D65EA">
        <w:rPr>
          <w:rFonts w:ascii="Cambria" w:hAnsi="Cambria"/>
          <w:sz w:val="24"/>
          <w:szCs w:val="24"/>
        </w:rPr>
        <w:t>Sub</w:t>
      </w:r>
      <w:proofErr w:type="spellEnd"/>
      <w:r w:rsidR="003D65EA">
        <w:rPr>
          <w:rFonts w:ascii="Cambria" w:hAnsi="Cambria"/>
          <w:sz w:val="24"/>
          <w:szCs w:val="24"/>
        </w:rPr>
        <w:t xml:space="preserve"> Saharienne. La </w:t>
      </w:r>
      <w:r w:rsidR="003D65EA" w:rsidRPr="004370EE">
        <w:rPr>
          <w:rFonts w:ascii="Cambria" w:hAnsi="Cambria"/>
          <w:b/>
          <w:sz w:val="24"/>
          <w:szCs w:val="24"/>
        </w:rPr>
        <w:t>Figure 1</w:t>
      </w:r>
      <w:r>
        <w:rPr>
          <w:rFonts w:ascii="Cambria" w:hAnsi="Cambria"/>
          <w:sz w:val="24"/>
          <w:szCs w:val="24"/>
        </w:rPr>
        <w:t xml:space="preserve"> en do</w:t>
      </w:r>
      <w:r w:rsidR="00356835">
        <w:rPr>
          <w:rFonts w:ascii="Cambria" w:hAnsi="Cambria"/>
          <w:sz w:val="24"/>
          <w:szCs w:val="24"/>
        </w:rPr>
        <w:t>nne une parfaite illustration. El</w:t>
      </w:r>
      <w:r>
        <w:rPr>
          <w:rFonts w:ascii="Cambria" w:hAnsi="Cambria"/>
          <w:sz w:val="24"/>
          <w:szCs w:val="24"/>
        </w:rPr>
        <w:t>l</w:t>
      </w:r>
      <w:r w:rsidR="00356835">
        <w:rPr>
          <w:rFonts w:ascii="Cambria" w:hAnsi="Cambria"/>
          <w:sz w:val="24"/>
          <w:szCs w:val="24"/>
        </w:rPr>
        <w:t>e</w:t>
      </w:r>
      <w:r>
        <w:rPr>
          <w:rFonts w:ascii="Cambria" w:hAnsi="Cambria"/>
          <w:sz w:val="24"/>
          <w:szCs w:val="24"/>
        </w:rPr>
        <w:t xml:space="preserve"> montre que, depuis 2000, le Sénégal n’a jusqu’ici pas </w:t>
      </w:r>
      <w:r w:rsidR="000D4169">
        <w:rPr>
          <w:rFonts w:ascii="Cambria" w:hAnsi="Cambria"/>
          <w:sz w:val="24"/>
          <w:szCs w:val="24"/>
        </w:rPr>
        <w:t>encore su</w:t>
      </w:r>
      <w:r>
        <w:rPr>
          <w:rFonts w:ascii="Cambria" w:hAnsi="Cambria"/>
          <w:sz w:val="24"/>
          <w:szCs w:val="24"/>
        </w:rPr>
        <w:t xml:space="preserve"> retrouver son taux de croissance d’avant l’alternance. Naturellement, cela est en partie </w:t>
      </w:r>
      <w:r w:rsidR="000D4169">
        <w:rPr>
          <w:rFonts w:ascii="Cambria" w:hAnsi="Cambria"/>
          <w:sz w:val="24"/>
          <w:szCs w:val="24"/>
        </w:rPr>
        <w:t>lié</w:t>
      </w:r>
      <w:r>
        <w:rPr>
          <w:rFonts w:ascii="Cambria" w:hAnsi="Cambria"/>
          <w:sz w:val="24"/>
          <w:szCs w:val="24"/>
        </w:rPr>
        <w:t xml:space="preserve"> </w:t>
      </w:r>
      <w:r w:rsidR="000D4169">
        <w:rPr>
          <w:rFonts w:ascii="Cambria" w:hAnsi="Cambria"/>
          <w:sz w:val="24"/>
          <w:szCs w:val="24"/>
        </w:rPr>
        <w:t>à</w:t>
      </w:r>
      <w:r>
        <w:rPr>
          <w:rFonts w:ascii="Cambria" w:hAnsi="Cambria"/>
          <w:sz w:val="24"/>
          <w:szCs w:val="24"/>
        </w:rPr>
        <w:t xml:space="preserve"> la conjoncture économique internationale </w:t>
      </w:r>
      <w:r w:rsidR="000D4169">
        <w:rPr>
          <w:rFonts w:ascii="Cambria" w:hAnsi="Cambria"/>
          <w:sz w:val="24"/>
          <w:szCs w:val="24"/>
        </w:rPr>
        <w:t xml:space="preserve">qui échappe au contrôle du Gouvernement </w:t>
      </w:r>
      <w:r>
        <w:rPr>
          <w:rFonts w:ascii="Cambria" w:hAnsi="Cambria"/>
          <w:sz w:val="24"/>
          <w:szCs w:val="24"/>
        </w:rPr>
        <w:t xml:space="preserve">mais une bonne part </w:t>
      </w:r>
      <w:r w:rsidR="00F30A4D">
        <w:rPr>
          <w:rFonts w:ascii="Cambria" w:hAnsi="Cambria"/>
          <w:sz w:val="24"/>
          <w:szCs w:val="24"/>
        </w:rPr>
        <w:t xml:space="preserve">de la faiblesse du taux de croissance </w:t>
      </w:r>
      <w:r>
        <w:rPr>
          <w:rFonts w:ascii="Cambria" w:hAnsi="Cambria"/>
          <w:sz w:val="24"/>
          <w:szCs w:val="24"/>
        </w:rPr>
        <w:t>relève de la responsabilité de l’Etat</w:t>
      </w:r>
      <w:r w:rsidR="000D4169">
        <w:rPr>
          <w:rFonts w:ascii="Cambria" w:hAnsi="Cambria"/>
          <w:sz w:val="24"/>
          <w:szCs w:val="24"/>
        </w:rPr>
        <w:t xml:space="preserve"> qui n’a pas su asseoir les fondements d’une politique économique digne d’un pays qui aspire à être une économie émergente.</w:t>
      </w:r>
    </w:p>
    <w:p w:rsidR="00FA41A8" w:rsidRDefault="00FA41A8" w:rsidP="00674C9C">
      <w:pPr>
        <w:pStyle w:val="ListParagraph"/>
        <w:ind w:left="0"/>
        <w:jc w:val="both"/>
        <w:rPr>
          <w:rFonts w:ascii="Cambria" w:hAnsi="Cambria"/>
          <w:sz w:val="24"/>
          <w:szCs w:val="24"/>
        </w:rPr>
      </w:pPr>
    </w:p>
    <w:p w:rsidR="003D65EA" w:rsidRDefault="003D65EA" w:rsidP="00674C9C">
      <w:pPr>
        <w:pStyle w:val="ListParagraph"/>
        <w:ind w:left="0"/>
        <w:jc w:val="both"/>
        <w:rPr>
          <w:rFonts w:ascii="Cambria" w:hAnsi="Cambria"/>
          <w:sz w:val="24"/>
          <w:szCs w:val="24"/>
        </w:rPr>
      </w:pPr>
      <w:r w:rsidRPr="003D65EA">
        <w:rPr>
          <w:rFonts w:ascii="Cambria" w:hAnsi="Cambria"/>
          <w:noProof/>
          <w:sz w:val="24"/>
          <w:szCs w:val="24"/>
          <w:lang w:val="en-US"/>
        </w:rPr>
        <w:drawing>
          <wp:inline distT="0" distB="0" distL="0" distR="0">
            <wp:extent cx="5761548" cy="3204376"/>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D4DB5" w:rsidRPr="008D4DB5" w:rsidRDefault="008D4DB5" w:rsidP="00674C9C">
      <w:pPr>
        <w:pStyle w:val="ListParagraph"/>
        <w:ind w:left="0"/>
        <w:jc w:val="both"/>
        <w:rPr>
          <w:rFonts w:ascii="Cambria" w:hAnsi="Cambria"/>
          <w:sz w:val="24"/>
          <w:szCs w:val="24"/>
          <w:lang w:val="en-US"/>
        </w:rPr>
      </w:pPr>
    </w:p>
    <w:p w:rsidR="00FA41A8" w:rsidRPr="0008466D" w:rsidRDefault="00FA41A8" w:rsidP="00C45845">
      <w:pPr>
        <w:pStyle w:val="ListParagraph"/>
        <w:numPr>
          <w:ilvl w:val="0"/>
          <w:numId w:val="2"/>
        </w:numPr>
        <w:jc w:val="both"/>
        <w:rPr>
          <w:rFonts w:ascii="Cambria" w:hAnsi="Cambria"/>
          <w:b/>
          <w:sz w:val="24"/>
          <w:szCs w:val="24"/>
        </w:rPr>
      </w:pPr>
      <w:r w:rsidRPr="0008466D">
        <w:rPr>
          <w:rFonts w:ascii="Cambria" w:hAnsi="Cambria"/>
          <w:b/>
          <w:sz w:val="24"/>
          <w:szCs w:val="24"/>
        </w:rPr>
        <w:t>La croissance a-t-elle permis de r</w:t>
      </w:r>
      <w:r w:rsidR="00A26DB1" w:rsidRPr="0008466D">
        <w:rPr>
          <w:rFonts w:ascii="Cambria" w:hAnsi="Cambria"/>
          <w:b/>
          <w:sz w:val="24"/>
          <w:szCs w:val="24"/>
        </w:rPr>
        <w:t>é</w:t>
      </w:r>
      <w:r w:rsidRPr="0008466D">
        <w:rPr>
          <w:rFonts w:ascii="Cambria" w:hAnsi="Cambria"/>
          <w:b/>
          <w:sz w:val="24"/>
          <w:szCs w:val="24"/>
        </w:rPr>
        <w:t>duire l’incidence de la pauvret</w:t>
      </w:r>
      <w:r w:rsidR="00A26DB1" w:rsidRPr="0008466D">
        <w:rPr>
          <w:rFonts w:ascii="Cambria" w:hAnsi="Cambria"/>
          <w:b/>
          <w:sz w:val="24"/>
          <w:szCs w:val="24"/>
        </w:rPr>
        <w:t>é</w:t>
      </w:r>
      <w:r w:rsidRPr="0008466D">
        <w:rPr>
          <w:rFonts w:ascii="Cambria" w:hAnsi="Cambria"/>
          <w:b/>
          <w:sz w:val="24"/>
          <w:szCs w:val="24"/>
        </w:rPr>
        <w:t xml:space="preserve"> au </w:t>
      </w:r>
      <w:r w:rsidR="0008466D" w:rsidRPr="0008466D">
        <w:rPr>
          <w:rFonts w:ascii="Cambria" w:hAnsi="Cambria"/>
          <w:b/>
          <w:sz w:val="24"/>
          <w:szCs w:val="24"/>
        </w:rPr>
        <w:t>Sénégal</w:t>
      </w:r>
      <w:r w:rsidRPr="0008466D">
        <w:rPr>
          <w:rFonts w:ascii="Cambria" w:hAnsi="Cambria"/>
          <w:b/>
          <w:sz w:val="24"/>
          <w:szCs w:val="24"/>
        </w:rPr>
        <w:t>?</w:t>
      </w:r>
    </w:p>
    <w:p w:rsidR="00D633FB" w:rsidRDefault="00D633FB" w:rsidP="00674C9C">
      <w:pPr>
        <w:pStyle w:val="ListParagraph"/>
        <w:ind w:left="0"/>
        <w:jc w:val="both"/>
        <w:rPr>
          <w:rFonts w:ascii="Cambria" w:hAnsi="Cambria"/>
          <w:sz w:val="24"/>
          <w:szCs w:val="24"/>
        </w:rPr>
      </w:pPr>
    </w:p>
    <w:p w:rsidR="00167032" w:rsidRPr="0008466D" w:rsidRDefault="00FA41A8" w:rsidP="00674C9C">
      <w:pPr>
        <w:pStyle w:val="ListParagraph"/>
        <w:ind w:left="0"/>
        <w:jc w:val="both"/>
        <w:rPr>
          <w:rFonts w:ascii="Cambria" w:hAnsi="Cambria"/>
          <w:sz w:val="24"/>
          <w:szCs w:val="24"/>
        </w:rPr>
      </w:pPr>
      <w:r w:rsidRPr="0008466D">
        <w:rPr>
          <w:rFonts w:ascii="Cambria" w:hAnsi="Cambria"/>
          <w:sz w:val="24"/>
          <w:szCs w:val="24"/>
        </w:rPr>
        <w:t>Il d</w:t>
      </w:r>
      <w:r w:rsidR="00A26DB1" w:rsidRPr="0008466D">
        <w:rPr>
          <w:rFonts w:ascii="Cambria" w:hAnsi="Cambria"/>
          <w:sz w:val="24"/>
          <w:szCs w:val="24"/>
        </w:rPr>
        <w:t>é</w:t>
      </w:r>
      <w:r w:rsidRPr="0008466D">
        <w:rPr>
          <w:rFonts w:ascii="Cambria" w:hAnsi="Cambria"/>
          <w:sz w:val="24"/>
          <w:szCs w:val="24"/>
        </w:rPr>
        <w:t>coule de ce que nous venons de pr</w:t>
      </w:r>
      <w:r w:rsidR="00A26DB1" w:rsidRPr="0008466D">
        <w:rPr>
          <w:rFonts w:ascii="Cambria" w:hAnsi="Cambria"/>
          <w:sz w:val="24"/>
          <w:szCs w:val="24"/>
        </w:rPr>
        <w:t>é</w:t>
      </w:r>
      <w:r w:rsidRPr="0008466D">
        <w:rPr>
          <w:rFonts w:ascii="Cambria" w:hAnsi="Cambria"/>
          <w:sz w:val="24"/>
          <w:szCs w:val="24"/>
        </w:rPr>
        <w:t>sent</w:t>
      </w:r>
      <w:r w:rsidR="00A26DB1" w:rsidRPr="0008466D">
        <w:rPr>
          <w:rFonts w:ascii="Cambria" w:hAnsi="Cambria"/>
          <w:sz w:val="24"/>
          <w:szCs w:val="24"/>
        </w:rPr>
        <w:t>er plus haut qu’une forte crois</w:t>
      </w:r>
      <w:r w:rsidRPr="0008466D">
        <w:rPr>
          <w:rFonts w:ascii="Cambria" w:hAnsi="Cambria"/>
          <w:sz w:val="24"/>
          <w:szCs w:val="24"/>
        </w:rPr>
        <w:t>sance s’accompagne souvent d’une baisse proportion</w:t>
      </w:r>
      <w:r w:rsidR="00A26DB1" w:rsidRPr="0008466D">
        <w:rPr>
          <w:rFonts w:ascii="Cambria" w:hAnsi="Cambria"/>
          <w:sz w:val="24"/>
          <w:szCs w:val="24"/>
        </w:rPr>
        <w:t>n</w:t>
      </w:r>
      <w:r w:rsidRPr="0008466D">
        <w:rPr>
          <w:rFonts w:ascii="Cambria" w:hAnsi="Cambria"/>
          <w:sz w:val="24"/>
          <w:szCs w:val="24"/>
        </w:rPr>
        <w:t>elle du taux de pauvret</w:t>
      </w:r>
      <w:r w:rsidR="00A26DB1" w:rsidRPr="0008466D">
        <w:rPr>
          <w:rFonts w:ascii="Cambria" w:hAnsi="Cambria"/>
          <w:sz w:val="24"/>
          <w:szCs w:val="24"/>
        </w:rPr>
        <w:t>é</w:t>
      </w:r>
      <w:r w:rsidRPr="0008466D">
        <w:rPr>
          <w:rFonts w:ascii="Cambria" w:hAnsi="Cambria"/>
          <w:sz w:val="24"/>
          <w:szCs w:val="24"/>
        </w:rPr>
        <w:t>. Selon des estimations de la Banque Mondiale, le pourcentage des s</w:t>
      </w:r>
      <w:r w:rsidR="0008466D" w:rsidRPr="0008466D">
        <w:rPr>
          <w:rFonts w:ascii="Cambria" w:hAnsi="Cambria"/>
          <w:sz w:val="24"/>
          <w:szCs w:val="24"/>
        </w:rPr>
        <w:t>é</w:t>
      </w:r>
      <w:r w:rsidRPr="0008466D">
        <w:rPr>
          <w:rFonts w:ascii="Cambria" w:hAnsi="Cambria"/>
          <w:sz w:val="24"/>
          <w:szCs w:val="24"/>
        </w:rPr>
        <w:t>n</w:t>
      </w:r>
      <w:r w:rsidR="0008466D" w:rsidRPr="0008466D">
        <w:rPr>
          <w:rFonts w:ascii="Cambria" w:hAnsi="Cambria"/>
          <w:sz w:val="24"/>
          <w:szCs w:val="24"/>
        </w:rPr>
        <w:t>é</w:t>
      </w:r>
      <w:r w:rsidRPr="0008466D">
        <w:rPr>
          <w:rFonts w:ascii="Cambria" w:hAnsi="Cambria"/>
          <w:sz w:val="24"/>
          <w:szCs w:val="24"/>
        </w:rPr>
        <w:t>galais qui vivent en dessous du seuil national de pauvret</w:t>
      </w:r>
      <w:r w:rsidR="00A26DB1" w:rsidRPr="0008466D">
        <w:rPr>
          <w:rFonts w:ascii="Cambria" w:hAnsi="Cambria"/>
          <w:sz w:val="24"/>
          <w:szCs w:val="24"/>
        </w:rPr>
        <w:t>é</w:t>
      </w:r>
      <w:r w:rsidRPr="0008466D">
        <w:rPr>
          <w:rFonts w:ascii="Cambria" w:hAnsi="Cambria"/>
          <w:sz w:val="24"/>
          <w:szCs w:val="24"/>
        </w:rPr>
        <w:t xml:space="preserve"> </w:t>
      </w:r>
      <w:r w:rsidR="00A26DB1" w:rsidRPr="0008466D">
        <w:rPr>
          <w:rFonts w:ascii="Cambria" w:hAnsi="Cambria"/>
          <w:sz w:val="24"/>
          <w:szCs w:val="24"/>
        </w:rPr>
        <w:t>é</w:t>
      </w:r>
      <w:r w:rsidR="00A64533" w:rsidRPr="0008466D">
        <w:rPr>
          <w:rFonts w:ascii="Cambria" w:hAnsi="Cambria"/>
          <w:sz w:val="24"/>
          <w:szCs w:val="24"/>
        </w:rPr>
        <w:t>tait</w:t>
      </w:r>
      <w:r w:rsidRPr="0008466D">
        <w:rPr>
          <w:rFonts w:ascii="Cambria" w:hAnsi="Cambria"/>
          <w:sz w:val="24"/>
          <w:szCs w:val="24"/>
        </w:rPr>
        <w:t xml:space="preserve"> d’environ 50.</w:t>
      </w:r>
      <w:r w:rsidR="00607152" w:rsidRPr="0008466D">
        <w:rPr>
          <w:rFonts w:ascii="Cambria" w:hAnsi="Cambria"/>
          <w:sz w:val="24"/>
          <w:szCs w:val="24"/>
        </w:rPr>
        <w:t>8%</w:t>
      </w:r>
      <w:r w:rsidR="00A64533" w:rsidRPr="0008466D">
        <w:rPr>
          <w:rFonts w:ascii="Cambria" w:hAnsi="Cambria"/>
          <w:sz w:val="24"/>
          <w:szCs w:val="24"/>
        </w:rPr>
        <w:t xml:space="preserve"> en 2005</w:t>
      </w:r>
      <w:r w:rsidR="00607152" w:rsidRPr="0008466D">
        <w:rPr>
          <w:rFonts w:ascii="Cambria" w:hAnsi="Cambria"/>
          <w:sz w:val="24"/>
          <w:szCs w:val="24"/>
        </w:rPr>
        <w:t xml:space="preserve">. En d’autres termes, plus de la </w:t>
      </w:r>
      <w:r w:rsidR="00356835" w:rsidRPr="0008466D">
        <w:rPr>
          <w:rFonts w:ascii="Cambria" w:hAnsi="Cambria"/>
          <w:sz w:val="24"/>
          <w:szCs w:val="24"/>
        </w:rPr>
        <w:t>moitié</w:t>
      </w:r>
      <w:r w:rsidR="00607152" w:rsidRPr="0008466D">
        <w:rPr>
          <w:rFonts w:ascii="Cambria" w:hAnsi="Cambria"/>
          <w:sz w:val="24"/>
          <w:szCs w:val="24"/>
        </w:rPr>
        <w:t xml:space="preserve"> des s</w:t>
      </w:r>
      <w:r w:rsidR="0008466D" w:rsidRPr="0008466D">
        <w:rPr>
          <w:rFonts w:ascii="Cambria" w:hAnsi="Cambria"/>
          <w:sz w:val="24"/>
          <w:szCs w:val="24"/>
        </w:rPr>
        <w:t>é</w:t>
      </w:r>
      <w:r w:rsidR="00607152" w:rsidRPr="0008466D">
        <w:rPr>
          <w:rFonts w:ascii="Cambria" w:hAnsi="Cambria"/>
          <w:sz w:val="24"/>
          <w:szCs w:val="24"/>
        </w:rPr>
        <w:t>n</w:t>
      </w:r>
      <w:r w:rsidR="0008466D" w:rsidRPr="0008466D">
        <w:rPr>
          <w:rFonts w:ascii="Cambria" w:hAnsi="Cambria"/>
          <w:sz w:val="24"/>
          <w:szCs w:val="24"/>
        </w:rPr>
        <w:t>é</w:t>
      </w:r>
      <w:r w:rsidR="00607152" w:rsidRPr="0008466D">
        <w:rPr>
          <w:rFonts w:ascii="Cambria" w:hAnsi="Cambria"/>
          <w:sz w:val="24"/>
          <w:szCs w:val="24"/>
        </w:rPr>
        <w:t>galais sont pauvres. Ils souffrent de l’incidence de la pauvret</w:t>
      </w:r>
      <w:r w:rsidR="00A26DB1" w:rsidRPr="0008466D">
        <w:rPr>
          <w:rFonts w:ascii="Cambria" w:hAnsi="Cambria"/>
          <w:sz w:val="24"/>
          <w:szCs w:val="24"/>
        </w:rPr>
        <w:t>é</w:t>
      </w:r>
      <w:r w:rsidR="00607152" w:rsidRPr="0008466D">
        <w:rPr>
          <w:rFonts w:ascii="Cambria" w:hAnsi="Cambria"/>
          <w:sz w:val="24"/>
          <w:szCs w:val="24"/>
        </w:rPr>
        <w:t xml:space="preserve"> qui est encore plus aiguis</w:t>
      </w:r>
      <w:r w:rsidR="00A26DB1" w:rsidRPr="0008466D">
        <w:rPr>
          <w:rFonts w:ascii="Cambria" w:hAnsi="Cambria"/>
          <w:sz w:val="24"/>
          <w:szCs w:val="24"/>
        </w:rPr>
        <w:t>é</w:t>
      </w:r>
      <w:r w:rsidR="00607152" w:rsidRPr="0008466D">
        <w:rPr>
          <w:rFonts w:ascii="Cambria" w:hAnsi="Cambria"/>
          <w:sz w:val="24"/>
          <w:szCs w:val="24"/>
        </w:rPr>
        <w:t xml:space="preserve">e en milieu rural avec </w:t>
      </w:r>
      <w:r w:rsidR="00215B9A" w:rsidRPr="0008466D">
        <w:rPr>
          <w:rFonts w:ascii="Cambria" w:hAnsi="Cambria"/>
          <w:sz w:val="24"/>
          <w:szCs w:val="24"/>
        </w:rPr>
        <w:t>près</w:t>
      </w:r>
      <w:r w:rsidR="00607152" w:rsidRPr="0008466D">
        <w:rPr>
          <w:rFonts w:ascii="Cambria" w:hAnsi="Cambria"/>
          <w:sz w:val="24"/>
          <w:szCs w:val="24"/>
        </w:rPr>
        <w:t xml:space="preserve"> de 62% des </w:t>
      </w:r>
      <w:r w:rsidR="00215B9A" w:rsidRPr="0008466D">
        <w:rPr>
          <w:rFonts w:ascii="Cambria" w:hAnsi="Cambria"/>
          <w:sz w:val="24"/>
          <w:szCs w:val="24"/>
        </w:rPr>
        <w:t>ménages</w:t>
      </w:r>
      <w:r w:rsidR="00607152" w:rsidRPr="0008466D">
        <w:rPr>
          <w:rFonts w:ascii="Cambria" w:hAnsi="Cambria"/>
          <w:sz w:val="24"/>
          <w:szCs w:val="24"/>
        </w:rPr>
        <w:t xml:space="preserve"> ruraux vivant en dessous du seuil de pauvret</w:t>
      </w:r>
      <w:r w:rsidR="00A26DB1" w:rsidRPr="0008466D">
        <w:rPr>
          <w:rFonts w:ascii="Cambria" w:hAnsi="Cambria"/>
          <w:sz w:val="24"/>
          <w:szCs w:val="24"/>
        </w:rPr>
        <w:t>é</w:t>
      </w:r>
      <w:r w:rsidR="00607152" w:rsidRPr="0008466D">
        <w:rPr>
          <w:rFonts w:ascii="Cambria" w:hAnsi="Cambria"/>
          <w:sz w:val="24"/>
          <w:szCs w:val="24"/>
        </w:rPr>
        <w:t xml:space="preserve"> rurale. Ce qui se traduit par l’exode massif des jeunes en zones urbaines -</w:t>
      </w:r>
      <w:r w:rsidR="00607152" w:rsidRPr="0008466D">
        <w:rPr>
          <w:rFonts w:ascii="Cambria" w:hAnsi="Cambria"/>
          <w:sz w:val="24"/>
          <w:szCs w:val="24"/>
        </w:rPr>
        <w:lastRenderedPageBreak/>
        <w:t xml:space="preserve">principalement </w:t>
      </w:r>
      <w:r w:rsidR="007E7F94" w:rsidRPr="0008466D">
        <w:rPr>
          <w:rFonts w:ascii="Cambria" w:hAnsi="Cambria"/>
          <w:sz w:val="24"/>
          <w:szCs w:val="24"/>
        </w:rPr>
        <w:t>à</w:t>
      </w:r>
      <w:r w:rsidR="00607152" w:rsidRPr="0008466D">
        <w:rPr>
          <w:rFonts w:ascii="Cambria" w:hAnsi="Cambria"/>
          <w:sz w:val="24"/>
          <w:szCs w:val="24"/>
        </w:rPr>
        <w:t xml:space="preserve"> Dakar- </w:t>
      </w:r>
      <w:r w:rsidR="007E7F94" w:rsidRPr="0008466D">
        <w:rPr>
          <w:rFonts w:ascii="Cambria" w:hAnsi="Cambria"/>
          <w:sz w:val="24"/>
          <w:szCs w:val="24"/>
        </w:rPr>
        <w:t>à</w:t>
      </w:r>
      <w:r w:rsidR="00607152" w:rsidRPr="0008466D">
        <w:rPr>
          <w:rFonts w:ascii="Cambria" w:hAnsi="Cambria"/>
          <w:sz w:val="24"/>
          <w:szCs w:val="24"/>
        </w:rPr>
        <w:t xml:space="preserve"> la recherche de lendemains meilleurs, avec son lot d’infortunes telles que l’exploitation humaine ou le sous-emploi d</w:t>
      </w:r>
      <w:r w:rsidR="00A26DB1" w:rsidRPr="0008466D">
        <w:rPr>
          <w:rFonts w:ascii="Cambria" w:hAnsi="Cambria"/>
          <w:sz w:val="24"/>
          <w:szCs w:val="24"/>
        </w:rPr>
        <w:t>é</w:t>
      </w:r>
      <w:r w:rsidR="00607152" w:rsidRPr="0008466D">
        <w:rPr>
          <w:rFonts w:ascii="Cambria" w:hAnsi="Cambria"/>
          <w:sz w:val="24"/>
          <w:szCs w:val="24"/>
        </w:rPr>
        <w:t>guis</w:t>
      </w:r>
      <w:r w:rsidR="00A26DB1" w:rsidRPr="0008466D">
        <w:rPr>
          <w:rFonts w:ascii="Cambria" w:hAnsi="Cambria"/>
          <w:sz w:val="24"/>
          <w:szCs w:val="24"/>
        </w:rPr>
        <w:t>é</w:t>
      </w:r>
      <w:r w:rsidR="00607152" w:rsidRPr="0008466D">
        <w:rPr>
          <w:rFonts w:ascii="Cambria" w:hAnsi="Cambria"/>
          <w:sz w:val="24"/>
          <w:szCs w:val="24"/>
        </w:rPr>
        <w:t>. La paup</w:t>
      </w:r>
      <w:r w:rsidR="00A26DB1" w:rsidRPr="0008466D">
        <w:rPr>
          <w:rFonts w:ascii="Cambria" w:hAnsi="Cambria"/>
          <w:sz w:val="24"/>
          <w:szCs w:val="24"/>
        </w:rPr>
        <w:t>é</w:t>
      </w:r>
      <w:r w:rsidR="00607152" w:rsidRPr="0008466D">
        <w:rPr>
          <w:rFonts w:ascii="Cambria" w:hAnsi="Cambria"/>
          <w:sz w:val="24"/>
          <w:szCs w:val="24"/>
        </w:rPr>
        <w:t>risation des populations urbaines et rurales qui</w:t>
      </w:r>
      <w:r w:rsidR="00A64533" w:rsidRPr="0008466D">
        <w:rPr>
          <w:rFonts w:ascii="Cambria" w:hAnsi="Cambria"/>
          <w:sz w:val="24"/>
          <w:szCs w:val="24"/>
        </w:rPr>
        <w:t>,</w:t>
      </w:r>
      <w:r w:rsidR="00607152" w:rsidRPr="0008466D">
        <w:rPr>
          <w:rFonts w:ascii="Cambria" w:hAnsi="Cambria"/>
          <w:sz w:val="24"/>
          <w:szCs w:val="24"/>
        </w:rPr>
        <w:t xml:space="preserve"> </w:t>
      </w:r>
      <w:r w:rsidR="00A64533" w:rsidRPr="0008466D">
        <w:rPr>
          <w:rFonts w:ascii="Cambria" w:hAnsi="Cambria"/>
          <w:sz w:val="24"/>
          <w:szCs w:val="24"/>
        </w:rPr>
        <w:t xml:space="preserve">pour beaucoup, ne </w:t>
      </w:r>
      <w:r w:rsidR="00607152" w:rsidRPr="0008466D">
        <w:rPr>
          <w:rFonts w:ascii="Cambria" w:hAnsi="Cambria"/>
          <w:sz w:val="24"/>
          <w:szCs w:val="24"/>
        </w:rPr>
        <w:t xml:space="preserve">mangent </w:t>
      </w:r>
      <w:r w:rsidR="00A64533" w:rsidRPr="0008466D">
        <w:rPr>
          <w:rFonts w:ascii="Cambria" w:hAnsi="Cambria"/>
          <w:sz w:val="24"/>
          <w:szCs w:val="24"/>
        </w:rPr>
        <w:t>qu’une seule fois dans la journ</w:t>
      </w:r>
      <w:r w:rsidR="00A26DB1" w:rsidRPr="0008466D">
        <w:rPr>
          <w:rFonts w:ascii="Cambria" w:hAnsi="Cambria"/>
          <w:sz w:val="24"/>
          <w:szCs w:val="24"/>
        </w:rPr>
        <w:t>é</w:t>
      </w:r>
      <w:r w:rsidR="00A64533" w:rsidRPr="0008466D">
        <w:rPr>
          <w:rFonts w:ascii="Cambria" w:hAnsi="Cambria"/>
          <w:sz w:val="24"/>
          <w:szCs w:val="24"/>
        </w:rPr>
        <w:t xml:space="preserve">e, </w:t>
      </w:r>
      <w:r w:rsidR="00515DD3">
        <w:rPr>
          <w:rFonts w:ascii="Cambria" w:hAnsi="Cambria"/>
          <w:sz w:val="24"/>
          <w:szCs w:val="24"/>
        </w:rPr>
        <w:t>n’</w:t>
      </w:r>
      <w:r w:rsidR="00A64533" w:rsidRPr="0008466D">
        <w:rPr>
          <w:rFonts w:ascii="Cambria" w:hAnsi="Cambria"/>
          <w:sz w:val="24"/>
          <w:szCs w:val="24"/>
        </w:rPr>
        <w:t xml:space="preserve">engendre </w:t>
      </w:r>
      <w:r w:rsidR="00515DD3">
        <w:rPr>
          <w:rFonts w:ascii="Cambria" w:hAnsi="Cambria"/>
          <w:sz w:val="24"/>
          <w:szCs w:val="24"/>
        </w:rPr>
        <w:t xml:space="preserve">pas moins </w:t>
      </w:r>
      <w:r w:rsidR="00607152" w:rsidRPr="0008466D">
        <w:rPr>
          <w:rFonts w:ascii="Cambria" w:hAnsi="Cambria"/>
          <w:sz w:val="24"/>
          <w:szCs w:val="24"/>
        </w:rPr>
        <w:t xml:space="preserve">le </w:t>
      </w:r>
      <w:r w:rsidR="00215B9A" w:rsidRPr="0008466D">
        <w:rPr>
          <w:rFonts w:ascii="Cambria" w:hAnsi="Cambria"/>
          <w:sz w:val="24"/>
          <w:szCs w:val="24"/>
        </w:rPr>
        <w:t>banditisme</w:t>
      </w:r>
      <w:r w:rsidR="00607152" w:rsidRPr="0008466D">
        <w:rPr>
          <w:rFonts w:ascii="Cambria" w:hAnsi="Cambria"/>
          <w:sz w:val="24"/>
          <w:szCs w:val="24"/>
        </w:rPr>
        <w:t xml:space="preserve">, </w:t>
      </w:r>
      <w:r w:rsidR="00A64533" w:rsidRPr="0008466D">
        <w:rPr>
          <w:rFonts w:ascii="Cambria" w:hAnsi="Cambria"/>
          <w:sz w:val="24"/>
          <w:szCs w:val="24"/>
        </w:rPr>
        <w:t>l’ins</w:t>
      </w:r>
      <w:r w:rsidR="00A26DB1" w:rsidRPr="0008466D">
        <w:rPr>
          <w:rFonts w:ascii="Cambria" w:hAnsi="Cambria"/>
          <w:sz w:val="24"/>
          <w:szCs w:val="24"/>
        </w:rPr>
        <w:t>é</w:t>
      </w:r>
      <w:r w:rsidR="00A64533" w:rsidRPr="0008466D">
        <w:rPr>
          <w:rFonts w:ascii="Cambria" w:hAnsi="Cambria"/>
          <w:sz w:val="24"/>
          <w:szCs w:val="24"/>
        </w:rPr>
        <w:t>curit</w:t>
      </w:r>
      <w:r w:rsidR="00A26DB1" w:rsidRPr="0008466D">
        <w:rPr>
          <w:rFonts w:ascii="Cambria" w:hAnsi="Cambria"/>
          <w:sz w:val="24"/>
          <w:szCs w:val="24"/>
        </w:rPr>
        <w:t>é</w:t>
      </w:r>
      <w:r w:rsidR="00A64533" w:rsidRPr="0008466D">
        <w:rPr>
          <w:rFonts w:ascii="Cambria" w:hAnsi="Cambria"/>
          <w:sz w:val="24"/>
          <w:szCs w:val="24"/>
        </w:rPr>
        <w:t xml:space="preserve">, </w:t>
      </w:r>
      <w:r w:rsidR="00607152" w:rsidRPr="0008466D">
        <w:rPr>
          <w:rFonts w:ascii="Cambria" w:hAnsi="Cambria"/>
          <w:sz w:val="24"/>
          <w:szCs w:val="24"/>
        </w:rPr>
        <w:t xml:space="preserve">la prostitution des jeunes filles et de plus en plus des </w:t>
      </w:r>
      <w:r w:rsidR="00215B9A" w:rsidRPr="0008466D">
        <w:rPr>
          <w:rFonts w:ascii="Cambria" w:hAnsi="Cambria"/>
          <w:sz w:val="24"/>
          <w:szCs w:val="24"/>
        </w:rPr>
        <w:t>garçons</w:t>
      </w:r>
      <w:r w:rsidR="00607152" w:rsidRPr="0008466D">
        <w:rPr>
          <w:rFonts w:ascii="Cambria" w:hAnsi="Cambria"/>
          <w:sz w:val="24"/>
          <w:szCs w:val="24"/>
        </w:rPr>
        <w:t xml:space="preserve"> (</w:t>
      </w:r>
      <w:r w:rsidR="00215B9A" w:rsidRPr="0008466D">
        <w:rPr>
          <w:rFonts w:ascii="Cambria" w:hAnsi="Cambria"/>
          <w:sz w:val="24"/>
          <w:szCs w:val="24"/>
        </w:rPr>
        <w:t>communément</w:t>
      </w:r>
      <w:r w:rsidR="00607152" w:rsidRPr="0008466D">
        <w:rPr>
          <w:rFonts w:ascii="Cambria" w:hAnsi="Cambria"/>
          <w:sz w:val="24"/>
          <w:szCs w:val="24"/>
        </w:rPr>
        <w:t xml:space="preserve"> appel</w:t>
      </w:r>
      <w:r w:rsidR="00A26DB1" w:rsidRPr="0008466D">
        <w:rPr>
          <w:rFonts w:ascii="Cambria" w:hAnsi="Cambria"/>
          <w:sz w:val="24"/>
          <w:szCs w:val="24"/>
        </w:rPr>
        <w:t>é</w:t>
      </w:r>
      <w:r w:rsidR="00607152" w:rsidRPr="0008466D">
        <w:rPr>
          <w:rFonts w:ascii="Cambria" w:hAnsi="Cambria"/>
          <w:sz w:val="24"/>
          <w:szCs w:val="24"/>
        </w:rPr>
        <w:t xml:space="preserve">s </w:t>
      </w:r>
      <w:r w:rsidR="00607152" w:rsidRPr="00356835">
        <w:rPr>
          <w:rFonts w:ascii="Cambria" w:hAnsi="Cambria"/>
          <w:i/>
          <w:sz w:val="24"/>
          <w:szCs w:val="24"/>
        </w:rPr>
        <w:t>gigolos</w:t>
      </w:r>
      <w:r w:rsidR="00607152" w:rsidRPr="0008466D">
        <w:rPr>
          <w:rFonts w:ascii="Cambria" w:hAnsi="Cambria"/>
          <w:sz w:val="24"/>
          <w:szCs w:val="24"/>
        </w:rPr>
        <w:t>) pour joindre les deux bouts et nourrir la famille.</w:t>
      </w:r>
      <w:r w:rsidR="00A64533" w:rsidRPr="0008466D">
        <w:rPr>
          <w:rFonts w:ascii="Cambria" w:hAnsi="Cambria"/>
          <w:sz w:val="24"/>
          <w:szCs w:val="24"/>
        </w:rPr>
        <w:t xml:space="preserve"> </w:t>
      </w:r>
      <w:r w:rsidR="00215B9A" w:rsidRPr="0008466D">
        <w:rPr>
          <w:rFonts w:ascii="Cambria" w:hAnsi="Cambria"/>
          <w:sz w:val="24"/>
          <w:szCs w:val="24"/>
        </w:rPr>
        <w:t>Même</w:t>
      </w:r>
      <w:r w:rsidR="00167032" w:rsidRPr="0008466D">
        <w:rPr>
          <w:rFonts w:ascii="Cambria" w:hAnsi="Cambria"/>
          <w:sz w:val="24"/>
          <w:szCs w:val="24"/>
        </w:rPr>
        <w:t xml:space="preserve"> la couche moyenne de la population qui, il y a une quinzaine d’ann</w:t>
      </w:r>
      <w:r w:rsidR="00A26DB1" w:rsidRPr="0008466D">
        <w:rPr>
          <w:rFonts w:ascii="Cambria" w:hAnsi="Cambria"/>
          <w:sz w:val="24"/>
          <w:szCs w:val="24"/>
        </w:rPr>
        <w:t>é</w:t>
      </w:r>
      <w:r w:rsidR="00167032" w:rsidRPr="0008466D">
        <w:rPr>
          <w:rFonts w:ascii="Cambria" w:hAnsi="Cambria"/>
          <w:sz w:val="24"/>
          <w:szCs w:val="24"/>
        </w:rPr>
        <w:t xml:space="preserve">es, pouvait s’offrir le luxe des magasins avec noms de marque, </w:t>
      </w:r>
      <w:r w:rsidR="00215B9A" w:rsidRPr="0008466D">
        <w:rPr>
          <w:rFonts w:ascii="Cambria" w:hAnsi="Cambria"/>
          <w:sz w:val="24"/>
          <w:szCs w:val="24"/>
        </w:rPr>
        <w:t>aujourd’hui</w:t>
      </w:r>
      <w:r w:rsidR="00167032" w:rsidRPr="0008466D">
        <w:rPr>
          <w:rFonts w:ascii="Cambria" w:hAnsi="Cambria"/>
          <w:sz w:val="24"/>
          <w:szCs w:val="24"/>
        </w:rPr>
        <w:t xml:space="preserve"> fait dans la friperie et autres produits bas de gamme avec des cons</w:t>
      </w:r>
      <w:r w:rsidR="00A26DB1" w:rsidRPr="0008466D">
        <w:rPr>
          <w:rFonts w:ascii="Cambria" w:hAnsi="Cambria"/>
          <w:sz w:val="24"/>
          <w:szCs w:val="24"/>
        </w:rPr>
        <w:t>é</w:t>
      </w:r>
      <w:r w:rsidR="00167032" w:rsidRPr="0008466D">
        <w:rPr>
          <w:rFonts w:ascii="Cambria" w:hAnsi="Cambria"/>
          <w:sz w:val="24"/>
          <w:szCs w:val="24"/>
        </w:rPr>
        <w:t xml:space="preserve">quences incalculables sur leur </w:t>
      </w:r>
      <w:r w:rsidR="005367B8" w:rsidRPr="0008466D">
        <w:rPr>
          <w:rFonts w:ascii="Cambria" w:hAnsi="Cambria"/>
          <w:sz w:val="24"/>
          <w:szCs w:val="24"/>
        </w:rPr>
        <w:t>santé</w:t>
      </w:r>
      <w:r w:rsidR="00167032" w:rsidRPr="0008466D">
        <w:rPr>
          <w:rFonts w:ascii="Cambria" w:hAnsi="Cambria"/>
          <w:sz w:val="24"/>
          <w:szCs w:val="24"/>
        </w:rPr>
        <w:t xml:space="preserve">. C’est </w:t>
      </w:r>
      <w:r w:rsidR="007E7F94" w:rsidRPr="0008466D">
        <w:rPr>
          <w:rFonts w:ascii="Cambria" w:hAnsi="Cambria"/>
          <w:sz w:val="24"/>
          <w:szCs w:val="24"/>
        </w:rPr>
        <w:t>à</w:t>
      </w:r>
      <w:r w:rsidR="00167032" w:rsidRPr="0008466D">
        <w:rPr>
          <w:rFonts w:ascii="Cambria" w:hAnsi="Cambria"/>
          <w:sz w:val="24"/>
          <w:szCs w:val="24"/>
        </w:rPr>
        <w:t xml:space="preserve"> croire que l’espoir d’une </w:t>
      </w:r>
      <w:r w:rsidR="00A26DB1" w:rsidRPr="0008466D">
        <w:rPr>
          <w:rFonts w:ascii="Cambria" w:hAnsi="Cambria"/>
          <w:sz w:val="24"/>
          <w:szCs w:val="24"/>
        </w:rPr>
        <w:t>é</w:t>
      </w:r>
      <w:r w:rsidR="00167032" w:rsidRPr="0008466D">
        <w:rPr>
          <w:rFonts w:ascii="Cambria" w:hAnsi="Cambria"/>
          <w:sz w:val="24"/>
          <w:szCs w:val="24"/>
        </w:rPr>
        <w:t>conomie s</w:t>
      </w:r>
      <w:r w:rsidR="0008466D" w:rsidRPr="0008466D">
        <w:rPr>
          <w:rFonts w:ascii="Cambria" w:hAnsi="Cambria"/>
          <w:sz w:val="24"/>
          <w:szCs w:val="24"/>
        </w:rPr>
        <w:t>é</w:t>
      </w:r>
      <w:r w:rsidR="00167032" w:rsidRPr="0008466D">
        <w:rPr>
          <w:rFonts w:ascii="Cambria" w:hAnsi="Cambria"/>
          <w:sz w:val="24"/>
          <w:szCs w:val="24"/>
        </w:rPr>
        <w:t>n</w:t>
      </w:r>
      <w:r w:rsidR="0008466D" w:rsidRPr="0008466D">
        <w:rPr>
          <w:rFonts w:ascii="Cambria" w:hAnsi="Cambria"/>
          <w:sz w:val="24"/>
          <w:szCs w:val="24"/>
        </w:rPr>
        <w:t>é</w:t>
      </w:r>
      <w:r w:rsidR="00167032" w:rsidRPr="0008466D">
        <w:rPr>
          <w:rFonts w:ascii="Cambria" w:hAnsi="Cambria"/>
          <w:sz w:val="24"/>
          <w:szCs w:val="24"/>
        </w:rPr>
        <w:t xml:space="preserve">galaise </w:t>
      </w:r>
      <w:r w:rsidR="00A26DB1" w:rsidRPr="0008466D">
        <w:rPr>
          <w:rFonts w:ascii="Cambria" w:hAnsi="Cambria"/>
          <w:sz w:val="24"/>
          <w:szCs w:val="24"/>
        </w:rPr>
        <w:t>é</w:t>
      </w:r>
      <w:r w:rsidR="00167032" w:rsidRPr="0008466D">
        <w:rPr>
          <w:rFonts w:ascii="Cambria" w:hAnsi="Cambria"/>
          <w:sz w:val="24"/>
          <w:szCs w:val="24"/>
        </w:rPr>
        <w:t>mergente qui s’appuierait sur une large couche moyenne, semble s’</w:t>
      </w:r>
      <w:r w:rsidR="0008466D" w:rsidRPr="0008466D">
        <w:rPr>
          <w:rFonts w:ascii="Cambria" w:hAnsi="Cambria"/>
          <w:sz w:val="24"/>
          <w:szCs w:val="24"/>
        </w:rPr>
        <w:t>être</w:t>
      </w:r>
      <w:r w:rsidR="00167032" w:rsidRPr="0008466D">
        <w:rPr>
          <w:rFonts w:ascii="Cambria" w:hAnsi="Cambria"/>
          <w:sz w:val="24"/>
          <w:szCs w:val="24"/>
        </w:rPr>
        <w:t xml:space="preserve"> d</w:t>
      </w:r>
      <w:r w:rsidR="00A26DB1" w:rsidRPr="0008466D">
        <w:rPr>
          <w:rFonts w:ascii="Cambria" w:hAnsi="Cambria"/>
          <w:sz w:val="24"/>
          <w:szCs w:val="24"/>
        </w:rPr>
        <w:t>é</w:t>
      </w:r>
      <w:r w:rsidR="00167032" w:rsidRPr="0008466D">
        <w:rPr>
          <w:rFonts w:ascii="Cambria" w:hAnsi="Cambria"/>
          <w:sz w:val="24"/>
          <w:szCs w:val="24"/>
        </w:rPr>
        <w:t>finitivement envol</w:t>
      </w:r>
      <w:r w:rsidR="0008466D" w:rsidRPr="0008466D">
        <w:rPr>
          <w:rFonts w:ascii="Cambria" w:hAnsi="Cambria"/>
          <w:sz w:val="24"/>
          <w:szCs w:val="24"/>
        </w:rPr>
        <w:t>é</w:t>
      </w:r>
      <w:r w:rsidR="00167032" w:rsidRPr="0008466D">
        <w:rPr>
          <w:rFonts w:ascii="Cambria" w:hAnsi="Cambria"/>
          <w:sz w:val="24"/>
          <w:szCs w:val="24"/>
        </w:rPr>
        <w:t>.</w:t>
      </w:r>
    </w:p>
    <w:p w:rsidR="005367B8" w:rsidRDefault="005367B8" w:rsidP="00674C9C">
      <w:pPr>
        <w:pStyle w:val="ListParagraph"/>
        <w:ind w:left="0"/>
        <w:jc w:val="both"/>
        <w:rPr>
          <w:rFonts w:ascii="Cambria" w:hAnsi="Cambria"/>
          <w:sz w:val="24"/>
          <w:szCs w:val="24"/>
        </w:rPr>
      </w:pPr>
    </w:p>
    <w:p w:rsidR="00FA41A8" w:rsidRDefault="00167032" w:rsidP="00674C9C">
      <w:pPr>
        <w:pStyle w:val="ListParagraph"/>
        <w:ind w:left="0"/>
        <w:jc w:val="both"/>
        <w:rPr>
          <w:rFonts w:ascii="Cambria" w:hAnsi="Cambria"/>
          <w:sz w:val="24"/>
          <w:szCs w:val="24"/>
        </w:rPr>
      </w:pPr>
      <w:r w:rsidRPr="0008466D">
        <w:rPr>
          <w:rFonts w:ascii="Cambria" w:hAnsi="Cambria"/>
          <w:sz w:val="24"/>
          <w:szCs w:val="24"/>
        </w:rPr>
        <w:t>De surcroit, a</w:t>
      </w:r>
      <w:r w:rsidR="00A64533" w:rsidRPr="0008466D">
        <w:rPr>
          <w:rFonts w:ascii="Cambria" w:hAnsi="Cambria"/>
          <w:sz w:val="24"/>
          <w:szCs w:val="24"/>
        </w:rPr>
        <w:t>vec la crise financi</w:t>
      </w:r>
      <w:r w:rsidR="007E7F94" w:rsidRPr="0008466D">
        <w:rPr>
          <w:rFonts w:ascii="Cambria" w:hAnsi="Cambria"/>
          <w:sz w:val="24"/>
          <w:szCs w:val="24"/>
        </w:rPr>
        <w:t>è</w:t>
      </w:r>
      <w:r w:rsidR="00A64533" w:rsidRPr="0008466D">
        <w:rPr>
          <w:rFonts w:ascii="Cambria" w:hAnsi="Cambria"/>
          <w:sz w:val="24"/>
          <w:szCs w:val="24"/>
        </w:rPr>
        <w:t>re et alimentaire mondiale qui s</w:t>
      </w:r>
      <w:r w:rsidR="00A26DB1" w:rsidRPr="0008466D">
        <w:rPr>
          <w:rFonts w:ascii="Cambria" w:hAnsi="Cambria"/>
          <w:sz w:val="24"/>
          <w:szCs w:val="24"/>
        </w:rPr>
        <w:t>é</w:t>
      </w:r>
      <w:r w:rsidR="00A64533" w:rsidRPr="0008466D">
        <w:rPr>
          <w:rFonts w:ascii="Cambria" w:hAnsi="Cambria"/>
          <w:sz w:val="24"/>
          <w:szCs w:val="24"/>
        </w:rPr>
        <w:t>vit depuis 2008 et qui n’est pas sans effets n</w:t>
      </w:r>
      <w:r w:rsidR="00A26DB1" w:rsidRPr="0008466D">
        <w:rPr>
          <w:rFonts w:ascii="Cambria" w:hAnsi="Cambria"/>
          <w:sz w:val="24"/>
          <w:szCs w:val="24"/>
        </w:rPr>
        <w:t>é</w:t>
      </w:r>
      <w:r w:rsidR="00A64533" w:rsidRPr="0008466D">
        <w:rPr>
          <w:rFonts w:ascii="Cambria" w:hAnsi="Cambria"/>
          <w:sz w:val="24"/>
          <w:szCs w:val="24"/>
        </w:rPr>
        <w:t>gatifs sur l’</w:t>
      </w:r>
      <w:r w:rsidR="00A26DB1" w:rsidRPr="0008466D">
        <w:rPr>
          <w:rFonts w:ascii="Cambria" w:hAnsi="Cambria"/>
          <w:sz w:val="24"/>
          <w:szCs w:val="24"/>
        </w:rPr>
        <w:t>é</w:t>
      </w:r>
      <w:r w:rsidR="00A64533" w:rsidRPr="0008466D">
        <w:rPr>
          <w:rFonts w:ascii="Cambria" w:hAnsi="Cambria"/>
          <w:sz w:val="24"/>
          <w:szCs w:val="24"/>
        </w:rPr>
        <w:t xml:space="preserve">conomie </w:t>
      </w:r>
      <w:r w:rsidR="00215B9A" w:rsidRPr="0008466D">
        <w:rPr>
          <w:rFonts w:ascii="Cambria" w:hAnsi="Cambria"/>
          <w:sz w:val="24"/>
          <w:szCs w:val="24"/>
        </w:rPr>
        <w:t>sénégalaise</w:t>
      </w:r>
      <w:r w:rsidR="00A64533" w:rsidRPr="0008466D">
        <w:rPr>
          <w:rFonts w:ascii="Cambria" w:hAnsi="Cambria"/>
          <w:sz w:val="24"/>
          <w:szCs w:val="24"/>
        </w:rPr>
        <w:t xml:space="preserve">, il faut s’attendre </w:t>
      </w:r>
      <w:r w:rsidR="007E7F94" w:rsidRPr="0008466D">
        <w:rPr>
          <w:rFonts w:ascii="Cambria" w:hAnsi="Cambria"/>
          <w:sz w:val="24"/>
          <w:szCs w:val="24"/>
        </w:rPr>
        <w:t>à</w:t>
      </w:r>
      <w:r w:rsidR="00A64533" w:rsidRPr="0008466D">
        <w:rPr>
          <w:rFonts w:ascii="Cambria" w:hAnsi="Cambria"/>
          <w:sz w:val="24"/>
          <w:szCs w:val="24"/>
        </w:rPr>
        <w:t xml:space="preserve"> ce que l</w:t>
      </w:r>
      <w:r w:rsidR="00515DD3">
        <w:rPr>
          <w:rFonts w:ascii="Cambria" w:hAnsi="Cambria"/>
          <w:sz w:val="24"/>
          <w:szCs w:val="24"/>
        </w:rPr>
        <w:t>e</w:t>
      </w:r>
      <w:r w:rsidR="00A64533" w:rsidRPr="0008466D">
        <w:rPr>
          <w:rFonts w:ascii="Cambria" w:hAnsi="Cambria"/>
          <w:sz w:val="24"/>
          <w:szCs w:val="24"/>
        </w:rPr>
        <w:t xml:space="preserve"> nombre de pauvres augmente et que le pourcentage des pauvres dans la population totale </w:t>
      </w:r>
      <w:r w:rsidRPr="0008466D">
        <w:rPr>
          <w:rFonts w:ascii="Cambria" w:hAnsi="Cambria"/>
          <w:sz w:val="24"/>
          <w:szCs w:val="24"/>
        </w:rPr>
        <w:t xml:space="preserve">aussi </w:t>
      </w:r>
      <w:r w:rsidR="00A64533" w:rsidRPr="0008466D">
        <w:rPr>
          <w:rFonts w:ascii="Cambria" w:hAnsi="Cambria"/>
          <w:sz w:val="24"/>
          <w:szCs w:val="24"/>
        </w:rPr>
        <w:t>aille crescendo.</w:t>
      </w:r>
    </w:p>
    <w:p w:rsidR="003D65EA" w:rsidRDefault="003D65EA" w:rsidP="00674C9C">
      <w:pPr>
        <w:pStyle w:val="ListParagraph"/>
        <w:ind w:left="0"/>
        <w:jc w:val="both"/>
        <w:rPr>
          <w:rFonts w:ascii="Cambria" w:hAnsi="Cambria"/>
          <w:sz w:val="24"/>
          <w:szCs w:val="24"/>
        </w:rPr>
      </w:pPr>
    </w:p>
    <w:p w:rsidR="003D65EA" w:rsidRPr="0008466D" w:rsidRDefault="003D65EA" w:rsidP="00674C9C">
      <w:pPr>
        <w:pStyle w:val="ListParagraph"/>
        <w:ind w:left="0"/>
        <w:jc w:val="both"/>
        <w:rPr>
          <w:rFonts w:ascii="Cambria" w:hAnsi="Cambria"/>
          <w:sz w:val="24"/>
          <w:szCs w:val="24"/>
        </w:rPr>
      </w:pPr>
      <w:r>
        <w:rPr>
          <w:rFonts w:ascii="Cambria" w:hAnsi="Cambria"/>
          <w:sz w:val="24"/>
          <w:szCs w:val="24"/>
        </w:rPr>
        <w:t xml:space="preserve">Lorsque l’on examine la </w:t>
      </w:r>
      <w:r w:rsidR="00EA188E">
        <w:rPr>
          <w:rFonts w:ascii="Cambria" w:hAnsi="Cambria"/>
          <w:sz w:val="24"/>
          <w:szCs w:val="24"/>
        </w:rPr>
        <w:t>corrélation</w:t>
      </w:r>
      <w:r>
        <w:rPr>
          <w:rFonts w:ascii="Cambria" w:hAnsi="Cambria"/>
          <w:sz w:val="24"/>
          <w:szCs w:val="24"/>
        </w:rPr>
        <w:t xml:space="preserve"> entre le taux de croissance et le taux de </w:t>
      </w:r>
      <w:r w:rsidR="00EA188E">
        <w:rPr>
          <w:rFonts w:ascii="Cambria" w:hAnsi="Cambria"/>
          <w:sz w:val="24"/>
          <w:szCs w:val="24"/>
        </w:rPr>
        <w:t>pauvreté</w:t>
      </w:r>
      <w:r>
        <w:rPr>
          <w:rFonts w:ascii="Cambria" w:hAnsi="Cambria"/>
          <w:sz w:val="24"/>
          <w:szCs w:val="24"/>
        </w:rPr>
        <w:t>, on s’</w:t>
      </w:r>
      <w:r w:rsidR="00EA188E">
        <w:rPr>
          <w:rFonts w:ascii="Cambria" w:hAnsi="Cambria"/>
          <w:sz w:val="24"/>
          <w:szCs w:val="24"/>
        </w:rPr>
        <w:t xml:space="preserve">aperçoit (voir </w:t>
      </w:r>
      <w:r w:rsidR="00EA188E" w:rsidRPr="004370EE">
        <w:rPr>
          <w:rFonts w:ascii="Cambria" w:hAnsi="Cambria"/>
          <w:b/>
          <w:sz w:val="24"/>
          <w:szCs w:val="24"/>
        </w:rPr>
        <w:t>Figure 2</w:t>
      </w:r>
      <w:r w:rsidR="00EA188E">
        <w:rPr>
          <w:rFonts w:ascii="Cambria" w:hAnsi="Cambria"/>
          <w:sz w:val="24"/>
          <w:szCs w:val="24"/>
        </w:rPr>
        <w:t>)</w:t>
      </w:r>
      <w:r w:rsidR="00422CAB">
        <w:rPr>
          <w:rFonts w:ascii="Cambria" w:hAnsi="Cambria"/>
          <w:sz w:val="24"/>
          <w:szCs w:val="24"/>
        </w:rPr>
        <w:t>,</w:t>
      </w:r>
      <w:r>
        <w:rPr>
          <w:rFonts w:ascii="Cambria" w:hAnsi="Cambria"/>
          <w:sz w:val="24"/>
          <w:szCs w:val="24"/>
        </w:rPr>
        <w:t xml:space="preserve"> en comparant le </w:t>
      </w:r>
      <w:r w:rsidR="00EA188E">
        <w:rPr>
          <w:rFonts w:ascii="Cambria" w:hAnsi="Cambria"/>
          <w:sz w:val="24"/>
          <w:szCs w:val="24"/>
        </w:rPr>
        <w:t>Sénégal</w:t>
      </w:r>
      <w:r>
        <w:rPr>
          <w:rFonts w:ascii="Cambria" w:hAnsi="Cambria"/>
          <w:sz w:val="24"/>
          <w:szCs w:val="24"/>
        </w:rPr>
        <w:t xml:space="preserve"> </w:t>
      </w:r>
      <w:r w:rsidR="00EA188E">
        <w:rPr>
          <w:rFonts w:ascii="Cambria" w:hAnsi="Cambria"/>
          <w:sz w:val="24"/>
          <w:szCs w:val="24"/>
        </w:rPr>
        <w:t>à</w:t>
      </w:r>
      <w:r>
        <w:rPr>
          <w:rFonts w:ascii="Cambria" w:hAnsi="Cambria"/>
          <w:sz w:val="24"/>
          <w:szCs w:val="24"/>
        </w:rPr>
        <w:t xml:space="preserve"> des pays voisins tels que la Mauritanie</w:t>
      </w:r>
      <w:r w:rsidR="00422CAB">
        <w:rPr>
          <w:rFonts w:ascii="Cambria" w:hAnsi="Cambria"/>
          <w:sz w:val="24"/>
          <w:szCs w:val="24"/>
        </w:rPr>
        <w:t>,</w:t>
      </w:r>
      <w:r>
        <w:rPr>
          <w:rFonts w:ascii="Cambria" w:hAnsi="Cambria"/>
          <w:sz w:val="24"/>
          <w:szCs w:val="24"/>
        </w:rPr>
        <w:t xml:space="preserve"> que le </w:t>
      </w:r>
      <w:r w:rsidR="00EA188E">
        <w:rPr>
          <w:rFonts w:ascii="Cambria" w:hAnsi="Cambria"/>
          <w:sz w:val="24"/>
          <w:szCs w:val="24"/>
        </w:rPr>
        <w:t>Sénégal</w:t>
      </w:r>
      <w:r>
        <w:rPr>
          <w:rFonts w:ascii="Cambria" w:hAnsi="Cambria"/>
          <w:sz w:val="24"/>
          <w:szCs w:val="24"/>
        </w:rPr>
        <w:t xml:space="preserve"> est non seulement moins performant en </w:t>
      </w:r>
      <w:r w:rsidR="00EA188E">
        <w:rPr>
          <w:rFonts w:ascii="Cambria" w:hAnsi="Cambria"/>
          <w:sz w:val="24"/>
          <w:szCs w:val="24"/>
        </w:rPr>
        <w:t>matière</w:t>
      </w:r>
      <w:r>
        <w:rPr>
          <w:rFonts w:ascii="Cambria" w:hAnsi="Cambria"/>
          <w:sz w:val="24"/>
          <w:szCs w:val="24"/>
        </w:rPr>
        <w:t xml:space="preserve"> de </w:t>
      </w:r>
      <w:r w:rsidR="00EA188E">
        <w:rPr>
          <w:rFonts w:ascii="Cambria" w:hAnsi="Cambria"/>
          <w:sz w:val="24"/>
          <w:szCs w:val="24"/>
        </w:rPr>
        <w:t>réduction</w:t>
      </w:r>
      <w:r>
        <w:rPr>
          <w:rFonts w:ascii="Cambria" w:hAnsi="Cambria"/>
          <w:sz w:val="24"/>
          <w:szCs w:val="24"/>
        </w:rPr>
        <w:t xml:space="preserve"> de la </w:t>
      </w:r>
      <w:r w:rsidR="00EA188E">
        <w:rPr>
          <w:rFonts w:ascii="Cambria" w:hAnsi="Cambria"/>
          <w:sz w:val="24"/>
          <w:szCs w:val="24"/>
        </w:rPr>
        <w:t>pauvreté</w:t>
      </w:r>
      <w:r>
        <w:rPr>
          <w:rFonts w:ascii="Cambria" w:hAnsi="Cambria"/>
          <w:sz w:val="24"/>
          <w:szCs w:val="24"/>
        </w:rPr>
        <w:t xml:space="preserve"> (33</w:t>
      </w:r>
      <w:r w:rsidR="00EA188E">
        <w:rPr>
          <w:rFonts w:ascii="Cambria" w:hAnsi="Cambria"/>
          <w:sz w:val="24"/>
          <w:szCs w:val="24"/>
        </w:rPr>
        <w:t>.5</w:t>
      </w:r>
      <w:r>
        <w:rPr>
          <w:rFonts w:ascii="Cambria" w:hAnsi="Cambria"/>
          <w:sz w:val="24"/>
          <w:szCs w:val="24"/>
        </w:rPr>
        <w:t>%</w:t>
      </w:r>
      <w:r w:rsidR="00F27754">
        <w:rPr>
          <w:rFonts w:ascii="Cambria" w:hAnsi="Cambria"/>
          <w:sz w:val="24"/>
          <w:szCs w:val="24"/>
        </w:rPr>
        <w:t xml:space="preserve"> vs 21.2%</w:t>
      </w:r>
      <w:r>
        <w:rPr>
          <w:rFonts w:ascii="Cambria" w:hAnsi="Cambria"/>
          <w:sz w:val="24"/>
          <w:szCs w:val="24"/>
        </w:rPr>
        <w:t xml:space="preserve">) mais son taux de croissance annuel moyen par </w:t>
      </w:r>
      <w:r w:rsidR="00EA188E">
        <w:rPr>
          <w:rFonts w:ascii="Cambria" w:hAnsi="Cambria"/>
          <w:sz w:val="24"/>
          <w:szCs w:val="24"/>
        </w:rPr>
        <w:t>tête</w:t>
      </w:r>
      <w:r w:rsidR="00F27754">
        <w:rPr>
          <w:rFonts w:ascii="Cambria" w:hAnsi="Cambria"/>
          <w:sz w:val="24"/>
          <w:szCs w:val="24"/>
        </w:rPr>
        <w:t>,</w:t>
      </w:r>
      <w:r>
        <w:rPr>
          <w:rFonts w:ascii="Cambria" w:hAnsi="Cambria"/>
          <w:sz w:val="24"/>
          <w:szCs w:val="24"/>
        </w:rPr>
        <w:t xml:space="preserve"> </w:t>
      </w:r>
      <w:r w:rsidR="00F27754" w:rsidRPr="00F27754">
        <w:rPr>
          <w:rFonts w:ascii="Cambria" w:hAnsi="Cambria"/>
          <w:sz w:val="24"/>
          <w:szCs w:val="24"/>
        </w:rPr>
        <w:t xml:space="preserve">dans la </w:t>
      </w:r>
      <w:r w:rsidR="00EA188E" w:rsidRPr="00F27754">
        <w:rPr>
          <w:rFonts w:ascii="Cambria" w:hAnsi="Cambria"/>
          <w:sz w:val="24"/>
          <w:szCs w:val="24"/>
        </w:rPr>
        <w:t>période</w:t>
      </w:r>
      <w:r w:rsidR="00F27754" w:rsidRPr="00F27754">
        <w:rPr>
          <w:rFonts w:ascii="Cambria" w:hAnsi="Cambria"/>
          <w:sz w:val="24"/>
          <w:szCs w:val="24"/>
        </w:rPr>
        <w:t xml:space="preserve"> 2000-09</w:t>
      </w:r>
      <w:r w:rsidR="00F27754">
        <w:rPr>
          <w:rFonts w:ascii="Cambria" w:hAnsi="Cambria"/>
          <w:sz w:val="24"/>
          <w:szCs w:val="24"/>
        </w:rPr>
        <w:t xml:space="preserve">, </w:t>
      </w:r>
      <w:r>
        <w:rPr>
          <w:rFonts w:ascii="Cambria" w:hAnsi="Cambria"/>
          <w:sz w:val="24"/>
          <w:szCs w:val="24"/>
        </w:rPr>
        <w:t xml:space="preserve">est </w:t>
      </w:r>
      <w:r w:rsidR="00F27754">
        <w:rPr>
          <w:rFonts w:ascii="Cambria" w:hAnsi="Cambria"/>
          <w:sz w:val="24"/>
          <w:szCs w:val="24"/>
        </w:rPr>
        <w:t xml:space="preserve">inferieur </w:t>
      </w:r>
      <w:r w:rsidR="00EA188E">
        <w:rPr>
          <w:rFonts w:ascii="Cambria" w:hAnsi="Cambria"/>
          <w:sz w:val="24"/>
          <w:szCs w:val="24"/>
        </w:rPr>
        <w:t>à</w:t>
      </w:r>
      <w:r w:rsidR="00422CAB">
        <w:rPr>
          <w:rFonts w:ascii="Cambria" w:hAnsi="Cambria"/>
          <w:sz w:val="24"/>
          <w:szCs w:val="24"/>
        </w:rPr>
        <w:t xml:space="preserve"> celui de la Mauritanie </w:t>
      </w:r>
      <w:r w:rsidR="00F27754">
        <w:rPr>
          <w:rFonts w:ascii="Cambria" w:hAnsi="Cambria"/>
          <w:sz w:val="24"/>
          <w:szCs w:val="24"/>
        </w:rPr>
        <w:t xml:space="preserve">(2.0% vs </w:t>
      </w:r>
      <w:r>
        <w:rPr>
          <w:rFonts w:ascii="Cambria" w:hAnsi="Cambria"/>
          <w:sz w:val="24"/>
          <w:szCs w:val="24"/>
        </w:rPr>
        <w:t>1.6%</w:t>
      </w:r>
      <w:r w:rsidR="00F27754">
        <w:rPr>
          <w:rFonts w:ascii="Cambria" w:hAnsi="Cambria"/>
          <w:sz w:val="24"/>
          <w:szCs w:val="24"/>
        </w:rPr>
        <w:t>)</w:t>
      </w:r>
      <w:r>
        <w:rPr>
          <w:rFonts w:ascii="Cambria" w:hAnsi="Cambria"/>
          <w:sz w:val="24"/>
          <w:szCs w:val="24"/>
        </w:rPr>
        <w:t>.</w:t>
      </w:r>
      <w:r w:rsidR="00422CAB">
        <w:rPr>
          <w:rFonts w:ascii="Cambria" w:hAnsi="Cambria"/>
          <w:sz w:val="24"/>
          <w:szCs w:val="24"/>
        </w:rPr>
        <w:t xml:space="preserve"> On observe </w:t>
      </w:r>
      <w:r w:rsidR="00B569B5">
        <w:rPr>
          <w:rFonts w:ascii="Cambria" w:hAnsi="Cambria"/>
          <w:sz w:val="24"/>
          <w:szCs w:val="24"/>
        </w:rPr>
        <w:t xml:space="preserve">également </w:t>
      </w:r>
      <w:r w:rsidR="00422CAB">
        <w:rPr>
          <w:rFonts w:ascii="Cambria" w:hAnsi="Cambria"/>
          <w:sz w:val="24"/>
          <w:szCs w:val="24"/>
        </w:rPr>
        <w:t xml:space="preserve">le </w:t>
      </w:r>
      <w:r w:rsidR="00EA188E">
        <w:rPr>
          <w:rFonts w:ascii="Cambria" w:hAnsi="Cambria"/>
          <w:sz w:val="24"/>
          <w:szCs w:val="24"/>
        </w:rPr>
        <w:t>même</w:t>
      </w:r>
      <w:r w:rsidR="00422CAB">
        <w:rPr>
          <w:rFonts w:ascii="Cambria" w:hAnsi="Cambria"/>
          <w:sz w:val="24"/>
          <w:szCs w:val="24"/>
        </w:rPr>
        <w:t xml:space="preserve"> scenario </w:t>
      </w:r>
      <w:r w:rsidR="00EA188E">
        <w:rPr>
          <w:rFonts w:ascii="Cambria" w:hAnsi="Cambria"/>
          <w:sz w:val="24"/>
          <w:szCs w:val="24"/>
        </w:rPr>
        <w:t>lorsque l’on compare le Sénégal au</w:t>
      </w:r>
      <w:r w:rsidR="00422CAB">
        <w:rPr>
          <w:rFonts w:ascii="Cambria" w:hAnsi="Cambria"/>
          <w:sz w:val="24"/>
          <w:szCs w:val="24"/>
        </w:rPr>
        <w:t xml:space="preserve"> Ghana. Quant </w:t>
      </w:r>
      <w:r w:rsidR="00EA188E">
        <w:rPr>
          <w:rFonts w:ascii="Cambria" w:hAnsi="Cambria"/>
          <w:sz w:val="24"/>
          <w:szCs w:val="24"/>
        </w:rPr>
        <w:t>à</w:t>
      </w:r>
      <w:r w:rsidR="00B569B5">
        <w:rPr>
          <w:rFonts w:ascii="Cambria" w:hAnsi="Cambria"/>
          <w:sz w:val="24"/>
          <w:szCs w:val="24"/>
        </w:rPr>
        <w:t xml:space="preserve"> la C</w:t>
      </w:r>
      <w:r w:rsidR="00B569B5">
        <w:rPr>
          <w:rFonts w:ascii="Arial" w:hAnsi="Arial" w:cs="Arial"/>
          <w:sz w:val="24"/>
          <w:szCs w:val="24"/>
        </w:rPr>
        <w:t>ô</w:t>
      </w:r>
      <w:r w:rsidR="00422CAB">
        <w:rPr>
          <w:rFonts w:ascii="Cambria" w:hAnsi="Cambria"/>
          <w:sz w:val="24"/>
          <w:szCs w:val="24"/>
        </w:rPr>
        <w:t xml:space="preserve">te d’Ivoire qui </w:t>
      </w:r>
      <w:r w:rsidR="00EA188E">
        <w:rPr>
          <w:rFonts w:ascii="Cambria" w:hAnsi="Cambria"/>
          <w:sz w:val="24"/>
          <w:szCs w:val="24"/>
        </w:rPr>
        <w:t>était</w:t>
      </w:r>
      <w:r w:rsidR="00422CAB">
        <w:rPr>
          <w:rFonts w:ascii="Cambria" w:hAnsi="Cambria"/>
          <w:sz w:val="24"/>
          <w:szCs w:val="24"/>
        </w:rPr>
        <w:t xml:space="preserve"> </w:t>
      </w:r>
      <w:r w:rsidR="00EA188E">
        <w:rPr>
          <w:rFonts w:ascii="Cambria" w:hAnsi="Cambria"/>
          <w:sz w:val="24"/>
          <w:szCs w:val="24"/>
        </w:rPr>
        <w:t>plongée,</w:t>
      </w:r>
      <w:r w:rsidR="00422CAB">
        <w:rPr>
          <w:rFonts w:ascii="Cambria" w:hAnsi="Cambria"/>
          <w:sz w:val="24"/>
          <w:szCs w:val="24"/>
        </w:rPr>
        <w:t xml:space="preserve"> pendant plus de 10 ans</w:t>
      </w:r>
      <w:r w:rsidR="00EA188E">
        <w:rPr>
          <w:rFonts w:ascii="Cambria" w:hAnsi="Cambria"/>
          <w:sz w:val="24"/>
          <w:szCs w:val="24"/>
        </w:rPr>
        <w:t>,</w:t>
      </w:r>
      <w:r w:rsidR="00422CAB">
        <w:rPr>
          <w:rFonts w:ascii="Cambria" w:hAnsi="Cambria"/>
          <w:sz w:val="24"/>
          <w:szCs w:val="24"/>
        </w:rPr>
        <w:t xml:space="preserve"> </w:t>
      </w:r>
      <w:r w:rsidR="00EA188E" w:rsidRPr="00EA188E">
        <w:rPr>
          <w:rFonts w:ascii="Cambria" w:hAnsi="Cambria"/>
          <w:sz w:val="24"/>
          <w:szCs w:val="24"/>
        </w:rPr>
        <w:t xml:space="preserve">dans une guerre civile </w:t>
      </w:r>
      <w:r w:rsidR="00422CAB">
        <w:rPr>
          <w:rFonts w:ascii="Cambria" w:hAnsi="Cambria"/>
          <w:sz w:val="24"/>
          <w:szCs w:val="24"/>
        </w:rPr>
        <w:t xml:space="preserve">qui lui a valu un taux de croissance </w:t>
      </w:r>
      <w:r w:rsidR="00EA188E">
        <w:rPr>
          <w:rFonts w:ascii="Cambria" w:hAnsi="Cambria"/>
          <w:sz w:val="24"/>
          <w:szCs w:val="24"/>
        </w:rPr>
        <w:t xml:space="preserve">moyen par tête négatif (-1.3%), elle a pu enregistrer un taux de </w:t>
      </w:r>
      <w:r w:rsidR="00677B3C">
        <w:rPr>
          <w:rFonts w:ascii="Cambria" w:hAnsi="Cambria"/>
          <w:sz w:val="24"/>
          <w:szCs w:val="24"/>
        </w:rPr>
        <w:t>pauvreté</w:t>
      </w:r>
      <w:r w:rsidR="00EA188E">
        <w:rPr>
          <w:rFonts w:ascii="Cambria" w:hAnsi="Cambria"/>
          <w:sz w:val="24"/>
          <w:szCs w:val="24"/>
        </w:rPr>
        <w:t xml:space="preserve"> largement plus faible que celui du </w:t>
      </w:r>
      <w:r w:rsidR="00677B3C">
        <w:rPr>
          <w:rFonts w:ascii="Cambria" w:hAnsi="Cambria"/>
          <w:sz w:val="24"/>
          <w:szCs w:val="24"/>
        </w:rPr>
        <w:t>Sénégal</w:t>
      </w:r>
      <w:r w:rsidR="00EA188E">
        <w:rPr>
          <w:rFonts w:ascii="Cambria" w:hAnsi="Cambria"/>
          <w:sz w:val="24"/>
          <w:szCs w:val="24"/>
        </w:rPr>
        <w:t xml:space="preserve"> (23.8% vs 33.5%). Comment comprendre un tel paradoxe sinon que la croissance que le </w:t>
      </w:r>
      <w:r w:rsidR="00677B3C">
        <w:rPr>
          <w:rFonts w:ascii="Cambria" w:hAnsi="Cambria"/>
          <w:sz w:val="24"/>
          <w:szCs w:val="24"/>
        </w:rPr>
        <w:t>Sénégal</w:t>
      </w:r>
      <w:r w:rsidR="00EA188E">
        <w:rPr>
          <w:rFonts w:ascii="Cambria" w:hAnsi="Cambria"/>
          <w:sz w:val="24"/>
          <w:szCs w:val="24"/>
        </w:rPr>
        <w:t xml:space="preserve"> a connu au cours des </w:t>
      </w:r>
      <w:r w:rsidR="004060AC">
        <w:rPr>
          <w:rFonts w:ascii="Cambria" w:hAnsi="Cambria"/>
          <w:sz w:val="24"/>
          <w:szCs w:val="24"/>
        </w:rPr>
        <w:t>dix</w:t>
      </w:r>
      <w:r w:rsidR="00EA188E">
        <w:rPr>
          <w:rFonts w:ascii="Cambria" w:hAnsi="Cambria"/>
          <w:sz w:val="24"/>
          <w:szCs w:val="24"/>
        </w:rPr>
        <w:t xml:space="preserve"> </w:t>
      </w:r>
      <w:r w:rsidR="00677B3C">
        <w:rPr>
          <w:rFonts w:ascii="Cambria" w:hAnsi="Cambria"/>
          <w:sz w:val="24"/>
          <w:szCs w:val="24"/>
        </w:rPr>
        <w:t>dernières</w:t>
      </w:r>
      <w:r w:rsidR="00EA188E">
        <w:rPr>
          <w:rFonts w:ascii="Cambria" w:hAnsi="Cambria"/>
          <w:sz w:val="24"/>
          <w:szCs w:val="24"/>
        </w:rPr>
        <w:t xml:space="preserve"> </w:t>
      </w:r>
      <w:r w:rsidR="00677B3C">
        <w:rPr>
          <w:rFonts w:ascii="Cambria" w:hAnsi="Cambria"/>
          <w:sz w:val="24"/>
          <w:szCs w:val="24"/>
        </w:rPr>
        <w:t>années</w:t>
      </w:r>
      <w:r w:rsidR="00EA188E">
        <w:rPr>
          <w:rFonts w:ascii="Cambria" w:hAnsi="Cambria"/>
          <w:sz w:val="24"/>
          <w:szCs w:val="24"/>
        </w:rPr>
        <w:t xml:space="preserve"> n’a </w:t>
      </w:r>
      <w:r w:rsidR="00677B3C">
        <w:rPr>
          <w:rFonts w:ascii="Cambria" w:hAnsi="Cambria"/>
          <w:sz w:val="24"/>
          <w:szCs w:val="24"/>
        </w:rPr>
        <w:t>profité</w:t>
      </w:r>
      <w:r w:rsidR="00EA188E">
        <w:rPr>
          <w:rFonts w:ascii="Cambria" w:hAnsi="Cambria"/>
          <w:sz w:val="24"/>
          <w:szCs w:val="24"/>
        </w:rPr>
        <w:t xml:space="preserve"> qu’</w:t>
      </w:r>
      <w:r w:rsidR="00677B3C">
        <w:rPr>
          <w:rFonts w:ascii="Cambria" w:hAnsi="Cambria"/>
          <w:sz w:val="24"/>
          <w:szCs w:val="24"/>
        </w:rPr>
        <w:t>à</w:t>
      </w:r>
      <w:r w:rsidR="00EA188E">
        <w:rPr>
          <w:rFonts w:ascii="Cambria" w:hAnsi="Cambria"/>
          <w:sz w:val="24"/>
          <w:szCs w:val="24"/>
        </w:rPr>
        <w:t xml:space="preserve"> une </w:t>
      </w:r>
      <w:r w:rsidR="00677B3C">
        <w:rPr>
          <w:rFonts w:ascii="Cambria" w:hAnsi="Cambria"/>
          <w:sz w:val="24"/>
          <w:szCs w:val="24"/>
        </w:rPr>
        <w:t>poignée</w:t>
      </w:r>
      <w:r w:rsidR="00EA188E">
        <w:rPr>
          <w:rFonts w:ascii="Cambria" w:hAnsi="Cambria"/>
          <w:sz w:val="24"/>
          <w:szCs w:val="24"/>
        </w:rPr>
        <w:t xml:space="preserve"> d’individus laissant</w:t>
      </w:r>
      <w:r w:rsidR="00B569B5">
        <w:rPr>
          <w:rFonts w:ascii="Cambria" w:hAnsi="Cambria"/>
          <w:sz w:val="24"/>
          <w:szCs w:val="24"/>
        </w:rPr>
        <w:t xml:space="preserve"> ainsi</w:t>
      </w:r>
      <w:r w:rsidR="00EA188E">
        <w:rPr>
          <w:rFonts w:ascii="Cambria" w:hAnsi="Cambria"/>
          <w:sz w:val="24"/>
          <w:szCs w:val="24"/>
        </w:rPr>
        <w:t xml:space="preserve"> une majeure partie de la population dans la </w:t>
      </w:r>
      <w:r w:rsidR="00677B3C">
        <w:rPr>
          <w:rFonts w:ascii="Cambria" w:hAnsi="Cambria"/>
          <w:sz w:val="24"/>
          <w:szCs w:val="24"/>
        </w:rPr>
        <w:t>misère</w:t>
      </w:r>
      <w:r w:rsidR="00EA188E">
        <w:rPr>
          <w:rFonts w:ascii="Cambria" w:hAnsi="Cambria"/>
          <w:sz w:val="24"/>
          <w:szCs w:val="24"/>
        </w:rPr>
        <w:t>.</w:t>
      </w:r>
    </w:p>
    <w:p w:rsidR="00493837" w:rsidRDefault="00493837" w:rsidP="00493837">
      <w:pPr>
        <w:pStyle w:val="ListParagraph"/>
        <w:ind w:left="0"/>
        <w:jc w:val="both"/>
        <w:rPr>
          <w:rFonts w:ascii="Cambria" w:hAnsi="Cambria"/>
          <w:sz w:val="24"/>
          <w:szCs w:val="24"/>
        </w:rPr>
      </w:pPr>
    </w:p>
    <w:p w:rsidR="003D65EA" w:rsidRDefault="003D65EA" w:rsidP="00493837">
      <w:pPr>
        <w:pStyle w:val="ListParagraph"/>
        <w:ind w:left="0"/>
        <w:jc w:val="both"/>
        <w:rPr>
          <w:rFonts w:ascii="Cambria" w:hAnsi="Cambria"/>
          <w:sz w:val="24"/>
          <w:szCs w:val="24"/>
        </w:rPr>
      </w:pPr>
      <w:r w:rsidRPr="003D65EA">
        <w:rPr>
          <w:rFonts w:ascii="Cambria" w:hAnsi="Cambria"/>
          <w:noProof/>
          <w:sz w:val="24"/>
          <w:szCs w:val="24"/>
          <w:lang w:val="en-US"/>
        </w:rPr>
        <w:lastRenderedPageBreak/>
        <w:drawing>
          <wp:inline distT="0" distB="0" distL="0" distR="0">
            <wp:extent cx="5796501" cy="3697357"/>
            <wp:effectExtent l="0" t="0" r="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D65EA" w:rsidRPr="0008466D" w:rsidRDefault="003D65EA" w:rsidP="00493837">
      <w:pPr>
        <w:pStyle w:val="ListParagraph"/>
        <w:ind w:left="0"/>
        <w:jc w:val="both"/>
        <w:rPr>
          <w:rFonts w:ascii="Cambria" w:hAnsi="Cambria"/>
          <w:sz w:val="24"/>
          <w:szCs w:val="24"/>
        </w:rPr>
      </w:pPr>
    </w:p>
    <w:p w:rsidR="00493837" w:rsidRPr="0008466D" w:rsidRDefault="00CB0327" w:rsidP="00C45845">
      <w:pPr>
        <w:pStyle w:val="ListParagraph"/>
        <w:numPr>
          <w:ilvl w:val="0"/>
          <w:numId w:val="2"/>
        </w:numPr>
        <w:jc w:val="both"/>
        <w:rPr>
          <w:rFonts w:ascii="Cambria" w:hAnsi="Cambria"/>
          <w:b/>
          <w:sz w:val="24"/>
          <w:szCs w:val="24"/>
        </w:rPr>
      </w:pPr>
      <w:r w:rsidRPr="00CB0327">
        <w:rPr>
          <w:rFonts w:ascii="Cambria" w:hAnsi="Cambria"/>
          <w:b/>
          <w:sz w:val="24"/>
          <w:szCs w:val="24"/>
        </w:rPr>
        <w:t>Le déficit budgétaire et le niveau actuel de la dette publique sont-il</w:t>
      </w:r>
      <w:r>
        <w:rPr>
          <w:rFonts w:ascii="Cambria" w:hAnsi="Cambria"/>
          <w:b/>
          <w:sz w:val="24"/>
          <w:szCs w:val="24"/>
        </w:rPr>
        <w:t>s</w:t>
      </w:r>
      <w:r w:rsidRPr="00CB0327">
        <w:rPr>
          <w:rFonts w:ascii="Cambria" w:hAnsi="Cambria"/>
          <w:b/>
          <w:sz w:val="24"/>
          <w:szCs w:val="24"/>
        </w:rPr>
        <w:t xml:space="preserve"> </w:t>
      </w:r>
      <w:r w:rsidR="00493837" w:rsidRPr="0008466D">
        <w:rPr>
          <w:rFonts w:ascii="Cambria" w:hAnsi="Cambria"/>
          <w:b/>
          <w:sz w:val="24"/>
          <w:szCs w:val="24"/>
        </w:rPr>
        <w:t>soutenable</w:t>
      </w:r>
      <w:r w:rsidR="00B569B5">
        <w:rPr>
          <w:rFonts w:ascii="Cambria" w:hAnsi="Cambria"/>
          <w:b/>
          <w:sz w:val="24"/>
          <w:szCs w:val="24"/>
        </w:rPr>
        <w:t>s</w:t>
      </w:r>
      <w:r w:rsidR="00493837" w:rsidRPr="0008466D">
        <w:rPr>
          <w:rFonts w:ascii="Cambria" w:hAnsi="Cambria"/>
          <w:b/>
          <w:sz w:val="24"/>
          <w:szCs w:val="24"/>
        </w:rPr>
        <w:t xml:space="preserve">? </w:t>
      </w:r>
    </w:p>
    <w:p w:rsidR="00D633FB" w:rsidRDefault="00D633FB" w:rsidP="00674C9C">
      <w:pPr>
        <w:pStyle w:val="ListParagraph"/>
        <w:ind w:left="0"/>
        <w:jc w:val="both"/>
        <w:rPr>
          <w:rFonts w:ascii="Cambria" w:hAnsi="Cambria"/>
          <w:sz w:val="24"/>
          <w:szCs w:val="24"/>
        </w:rPr>
      </w:pPr>
    </w:p>
    <w:p w:rsidR="002F79A7" w:rsidRDefault="00450FF4" w:rsidP="00674C9C">
      <w:pPr>
        <w:pStyle w:val="ListParagraph"/>
        <w:ind w:left="0"/>
        <w:jc w:val="both"/>
        <w:rPr>
          <w:rFonts w:ascii="Cambria" w:hAnsi="Cambria"/>
          <w:sz w:val="24"/>
          <w:szCs w:val="24"/>
        </w:rPr>
      </w:pPr>
      <w:r w:rsidRPr="0008466D">
        <w:rPr>
          <w:rFonts w:ascii="Cambria" w:hAnsi="Cambria"/>
          <w:sz w:val="24"/>
          <w:szCs w:val="24"/>
        </w:rPr>
        <w:t xml:space="preserve">Les revenus </w:t>
      </w:r>
      <w:r w:rsidR="00A26DB1" w:rsidRPr="0008466D">
        <w:rPr>
          <w:rFonts w:ascii="Cambria" w:hAnsi="Cambria"/>
          <w:sz w:val="24"/>
          <w:szCs w:val="24"/>
        </w:rPr>
        <w:t>générés</w:t>
      </w:r>
      <w:r w:rsidRPr="0008466D">
        <w:rPr>
          <w:rFonts w:ascii="Cambria" w:hAnsi="Cambria"/>
          <w:sz w:val="24"/>
          <w:szCs w:val="24"/>
        </w:rPr>
        <w:t xml:space="preserve"> par le Gouvernement du </w:t>
      </w:r>
      <w:r w:rsidR="00A26DB1" w:rsidRPr="0008466D">
        <w:rPr>
          <w:rFonts w:ascii="Cambria" w:hAnsi="Cambria"/>
          <w:sz w:val="24"/>
          <w:szCs w:val="24"/>
        </w:rPr>
        <w:t>Sénégal</w:t>
      </w:r>
      <w:r w:rsidRPr="0008466D">
        <w:rPr>
          <w:rFonts w:ascii="Cambria" w:hAnsi="Cambria"/>
          <w:sz w:val="24"/>
          <w:szCs w:val="24"/>
        </w:rPr>
        <w:t xml:space="preserve"> sont </w:t>
      </w:r>
      <w:r w:rsidR="005367B8" w:rsidRPr="0008466D">
        <w:rPr>
          <w:rFonts w:ascii="Cambria" w:hAnsi="Cambria"/>
          <w:sz w:val="24"/>
          <w:szCs w:val="24"/>
        </w:rPr>
        <w:t>passés</w:t>
      </w:r>
      <w:r w:rsidRPr="0008466D">
        <w:rPr>
          <w:rFonts w:ascii="Cambria" w:hAnsi="Cambria"/>
          <w:sz w:val="24"/>
          <w:szCs w:val="24"/>
        </w:rPr>
        <w:t xml:space="preserve"> de 21.1% du P</w:t>
      </w:r>
      <w:r w:rsidR="005367B8">
        <w:rPr>
          <w:rFonts w:ascii="Cambria" w:hAnsi="Cambria"/>
          <w:sz w:val="24"/>
          <w:szCs w:val="24"/>
        </w:rPr>
        <w:t>roduit Intérieur Brut (P</w:t>
      </w:r>
      <w:r w:rsidRPr="0008466D">
        <w:rPr>
          <w:rFonts w:ascii="Cambria" w:hAnsi="Cambria"/>
          <w:sz w:val="24"/>
          <w:szCs w:val="24"/>
        </w:rPr>
        <w:t>IB</w:t>
      </w:r>
      <w:r w:rsidR="005367B8">
        <w:rPr>
          <w:rFonts w:ascii="Cambria" w:hAnsi="Cambria"/>
          <w:sz w:val="24"/>
          <w:szCs w:val="24"/>
        </w:rPr>
        <w:t>)</w:t>
      </w:r>
      <w:r w:rsidRPr="0008466D">
        <w:rPr>
          <w:rFonts w:ascii="Cambria" w:hAnsi="Cambria"/>
          <w:sz w:val="24"/>
          <w:szCs w:val="24"/>
        </w:rPr>
        <w:t xml:space="preserve"> en 2006 </w:t>
      </w:r>
      <w:r w:rsidR="007E7F94" w:rsidRPr="0008466D">
        <w:rPr>
          <w:rFonts w:ascii="Cambria" w:hAnsi="Cambria"/>
          <w:sz w:val="24"/>
          <w:szCs w:val="24"/>
        </w:rPr>
        <w:t>à</w:t>
      </w:r>
      <w:r w:rsidRPr="0008466D">
        <w:rPr>
          <w:rFonts w:ascii="Cambria" w:hAnsi="Cambria"/>
          <w:sz w:val="24"/>
          <w:szCs w:val="24"/>
        </w:rPr>
        <w:t xml:space="preserve"> </w:t>
      </w:r>
      <w:r w:rsidR="0008466D" w:rsidRPr="0008466D">
        <w:rPr>
          <w:rFonts w:ascii="Cambria" w:hAnsi="Cambria"/>
          <w:sz w:val="24"/>
          <w:szCs w:val="24"/>
        </w:rPr>
        <w:t>près</w:t>
      </w:r>
      <w:r w:rsidRPr="0008466D">
        <w:rPr>
          <w:rFonts w:ascii="Cambria" w:hAnsi="Cambria"/>
          <w:sz w:val="24"/>
          <w:szCs w:val="24"/>
        </w:rPr>
        <w:t xml:space="preserve"> de 23.2% en 2010 alors que dans la </w:t>
      </w:r>
      <w:r w:rsidR="00A26DB1" w:rsidRPr="0008466D">
        <w:rPr>
          <w:rFonts w:ascii="Cambria" w:hAnsi="Cambria"/>
          <w:sz w:val="24"/>
          <w:szCs w:val="24"/>
        </w:rPr>
        <w:t>même</w:t>
      </w:r>
      <w:r w:rsidRPr="0008466D">
        <w:rPr>
          <w:rFonts w:ascii="Cambria" w:hAnsi="Cambria"/>
          <w:sz w:val="24"/>
          <w:szCs w:val="24"/>
        </w:rPr>
        <w:t xml:space="preserve"> p</w:t>
      </w:r>
      <w:r w:rsidR="00A26DB1" w:rsidRPr="0008466D">
        <w:rPr>
          <w:rFonts w:ascii="Cambria" w:hAnsi="Cambria"/>
          <w:sz w:val="24"/>
          <w:szCs w:val="24"/>
        </w:rPr>
        <w:t>é</w:t>
      </w:r>
      <w:r w:rsidRPr="0008466D">
        <w:rPr>
          <w:rFonts w:ascii="Cambria" w:hAnsi="Cambria"/>
          <w:sz w:val="24"/>
          <w:szCs w:val="24"/>
        </w:rPr>
        <w:t>riode, les d</w:t>
      </w:r>
      <w:r w:rsidR="00A26DB1" w:rsidRPr="0008466D">
        <w:rPr>
          <w:rFonts w:ascii="Cambria" w:hAnsi="Cambria"/>
          <w:sz w:val="24"/>
          <w:szCs w:val="24"/>
        </w:rPr>
        <w:t>é</w:t>
      </w:r>
      <w:r w:rsidRPr="0008466D">
        <w:rPr>
          <w:rFonts w:ascii="Cambria" w:hAnsi="Cambria"/>
          <w:sz w:val="24"/>
          <w:szCs w:val="24"/>
        </w:rPr>
        <w:t>penses publiques de l’Etat sont pass</w:t>
      </w:r>
      <w:r w:rsidR="00A26DB1" w:rsidRPr="0008466D">
        <w:rPr>
          <w:rFonts w:ascii="Cambria" w:hAnsi="Cambria"/>
          <w:sz w:val="24"/>
          <w:szCs w:val="24"/>
        </w:rPr>
        <w:t>é</w:t>
      </w:r>
      <w:r w:rsidRPr="0008466D">
        <w:rPr>
          <w:rFonts w:ascii="Cambria" w:hAnsi="Cambria"/>
          <w:sz w:val="24"/>
          <w:szCs w:val="24"/>
        </w:rPr>
        <w:t xml:space="preserve">es de 27.5% </w:t>
      </w:r>
      <w:r w:rsidR="007E7F94" w:rsidRPr="0008466D">
        <w:rPr>
          <w:rFonts w:ascii="Cambria" w:hAnsi="Cambria"/>
          <w:sz w:val="24"/>
          <w:szCs w:val="24"/>
        </w:rPr>
        <w:t>à</w:t>
      </w:r>
      <w:r w:rsidRPr="0008466D">
        <w:rPr>
          <w:rFonts w:ascii="Cambria" w:hAnsi="Cambria"/>
          <w:sz w:val="24"/>
          <w:szCs w:val="24"/>
        </w:rPr>
        <w:t xml:space="preserve"> 28.7%</w:t>
      </w:r>
      <w:r w:rsidR="0032364F" w:rsidRPr="0008466D">
        <w:rPr>
          <w:rFonts w:ascii="Cambria" w:hAnsi="Cambria"/>
          <w:sz w:val="24"/>
          <w:szCs w:val="24"/>
        </w:rPr>
        <w:t xml:space="preserve"> du PIB</w:t>
      </w:r>
      <w:r w:rsidRPr="0008466D">
        <w:rPr>
          <w:rFonts w:ascii="Cambria" w:hAnsi="Cambria"/>
          <w:sz w:val="24"/>
          <w:szCs w:val="24"/>
        </w:rPr>
        <w:t>. Ce qui se traduit par un d</w:t>
      </w:r>
      <w:r w:rsidR="00A26DB1" w:rsidRPr="0008466D">
        <w:rPr>
          <w:rFonts w:ascii="Cambria" w:hAnsi="Cambria"/>
          <w:sz w:val="24"/>
          <w:szCs w:val="24"/>
        </w:rPr>
        <w:t>é</w:t>
      </w:r>
      <w:r w:rsidRPr="0008466D">
        <w:rPr>
          <w:rFonts w:ascii="Cambria" w:hAnsi="Cambria"/>
          <w:sz w:val="24"/>
          <w:szCs w:val="24"/>
        </w:rPr>
        <w:t>ficit budg</w:t>
      </w:r>
      <w:r w:rsidR="00A26DB1" w:rsidRPr="0008466D">
        <w:rPr>
          <w:rFonts w:ascii="Cambria" w:hAnsi="Cambria"/>
          <w:sz w:val="24"/>
          <w:szCs w:val="24"/>
        </w:rPr>
        <w:t>é</w:t>
      </w:r>
      <w:r w:rsidRPr="0008466D">
        <w:rPr>
          <w:rFonts w:ascii="Cambria" w:hAnsi="Cambria"/>
          <w:sz w:val="24"/>
          <w:szCs w:val="24"/>
        </w:rPr>
        <w:t>taire de 5.5% du PIB</w:t>
      </w:r>
      <w:r w:rsidR="0032364F" w:rsidRPr="0008466D">
        <w:rPr>
          <w:rFonts w:ascii="Cambria" w:hAnsi="Cambria"/>
          <w:sz w:val="24"/>
          <w:szCs w:val="24"/>
        </w:rPr>
        <w:t xml:space="preserve">. La dette publique nette est ainsi </w:t>
      </w:r>
      <w:r w:rsidR="00A26DB1" w:rsidRPr="0008466D">
        <w:rPr>
          <w:rFonts w:ascii="Cambria" w:hAnsi="Cambria"/>
          <w:sz w:val="24"/>
          <w:szCs w:val="24"/>
        </w:rPr>
        <w:t>passée</w:t>
      </w:r>
      <w:r w:rsidR="0032364F" w:rsidRPr="0008466D">
        <w:rPr>
          <w:rFonts w:ascii="Cambria" w:hAnsi="Cambria"/>
          <w:sz w:val="24"/>
          <w:szCs w:val="24"/>
        </w:rPr>
        <w:t xml:space="preserve"> de 24.2% du PIB </w:t>
      </w:r>
      <w:r w:rsidR="00201A6A" w:rsidRPr="00201A6A">
        <w:rPr>
          <w:rFonts w:ascii="Cambria" w:hAnsi="Cambria"/>
          <w:sz w:val="24"/>
          <w:szCs w:val="24"/>
        </w:rPr>
        <w:t>à</w:t>
      </w:r>
      <w:r w:rsidR="0032364F" w:rsidRPr="0008466D">
        <w:rPr>
          <w:rFonts w:ascii="Cambria" w:hAnsi="Cambria"/>
          <w:sz w:val="24"/>
          <w:szCs w:val="24"/>
        </w:rPr>
        <w:t xml:space="preserve"> 33.2% du PIB entre 2006 </w:t>
      </w:r>
      <w:r w:rsidR="00515DD3">
        <w:rPr>
          <w:rFonts w:ascii="Cambria" w:hAnsi="Cambria"/>
          <w:sz w:val="24"/>
          <w:szCs w:val="24"/>
        </w:rPr>
        <w:t>et</w:t>
      </w:r>
      <w:r w:rsidR="0032364F" w:rsidRPr="0008466D">
        <w:rPr>
          <w:rFonts w:ascii="Cambria" w:hAnsi="Cambria"/>
          <w:sz w:val="24"/>
          <w:szCs w:val="24"/>
        </w:rPr>
        <w:t xml:space="preserve"> 2010. </w:t>
      </w:r>
    </w:p>
    <w:p w:rsidR="00B178C5" w:rsidRDefault="00B178C5" w:rsidP="00674C9C">
      <w:pPr>
        <w:pStyle w:val="ListParagraph"/>
        <w:ind w:left="0"/>
        <w:jc w:val="both"/>
        <w:rPr>
          <w:rFonts w:ascii="Cambria" w:hAnsi="Cambria"/>
          <w:sz w:val="24"/>
          <w:szCs w:val="24"/>
        </w:rPr>
      </w:pPr>
    </w:p>
    <w:p w:rsidR="002F79A7" w:rsidRDefault="00B569B5" w:rsidP="00674C9C">
      <w:pPr>
        <w:pStyle w:val="ListParagraph"/>
        <w:ind w:left="0"/>
        <w:jc w:val="both"/>
        <w:rPr>
          <w:rFonts w:ascii="Cambria" w:hAnsi="Cambria"/>
          <w:sz w:val="24"/>
          <w:szCs w:val="24"/>
        </w:rPr>
      </w:pPr>
      <w:r>
        <w:rPr>
          <w:rFonts w:ascii="Cambria" w:hAnsi="Cambria"/>
          <w:sz w:val="24"/>
          <w:szCs w:val="24"/>
        </w:rPr>
        <w:t>Par ailleurs, s</w:t>
      </w:r>
      <w:r w:rsidR="002F79A7">
        <w:rPr>
          <w:rFonts w:ascii="Cambria" w:hAnsi="Cambria"/>
          <w:sz w:val="24"/>
          <w:szCs w:val="24"/>
        </w:rPr>
        <w:t xml:space="preserve">elon le rapport semestriel de l’UEMOA de Juin 2011, le </w:t>
      </w:r>
      <w:r w:rsidR="00FF1ED3">
        <w:rPr>
          <w:rFonts w:ascii="Cambria" w:hAnsi="Cambria"/>
          <w:sz w:val="24"/>
          <w:szCs w:val="24"/>
        </w:rPr>
        <w:t>Sénégal</w:t>
      </w:r>
      <w:r w:rsidR="002F79A7">
        <w:rPr>
          <w:rFonts w:ascii="Cambria" w:hAnsi="Cambria"/>
          <w:sz w:val="24"/>
          <w:szCs w:val="24"/>
        </w:rPr>
        <w:t xml:space="preserve"> est en queue de peloton en ce qui concerne la maitrise des </w:t>
      </w:r>
      <w:r w:rsidR="00FF1ED3">
        <w:rPr>
          <w:rFonts w:ascii="Cambria" w:hAnsi="Cambria"/>
          <w:sz w:val="24"/>
          <w:szCs w:val="24"/>
        </w:rPr>
        <w:t>dépenses</w:t>
      </w:r>
      <w:r w:rsidR="002F79A7">
        <w:rPr>
          <w:rFonts w:ascii="Cambria" w:hAnsi="Cambria"/>
          <w:sz w:val="24"/>
          <w:szCs w:val="24"/>
        </w:rPr>
        <w:t xml:space="preserve"> </w:t>
      </w:r>
      <w:r w:rsidR="00FF1ED3">
        <w:rPr>
          <w:rFonts w:ascii="Cambria" w:hAnsi="Cambria"/>
          <w:sz w:val="24"/>
          <w:szCs w:val="24"/>
        </w:rPr>
        <w:t>budgétaires</w:t>
      </w:r>
      <w:r w:rsidR="002F79A7">
        <w:rPr>
          <w:rFonts w:ascii="Cambria" w:hAnsi="Cambria"/>
          <w:sz w:val="24"/>
          <w:szCs w:val="24"/>
        </w:rPr>
        <w:t xml:space="preserve">. La </w:t>
      </w:r>
      <w:r w:rsidR="002F79A7" w:rsidRPr="004370EE">
        <w:rPr>
          <w:rFonts w:ascii="Cambria" w:hAnsi="Cambria"/>
          <w:b/>
          <w:sz w:val="24"/>
          <w:szCs w:val="24"/>
        </w:rPr>
        <w:t>Figure 3</w:t>
      </w:r>
      <w:r w:rsidR="002F79A7">
        <w:rPr>
          <w:rFonts w:ascii="Cambria" w:hAnsi="Cambria"/>
          <w:sz w:val="24"/>
          <w:szCs w:val="24"/>
        </w:rPr>
        <w:t xml:space="preserve"> fait </w:t>
      </w:r>
      <w:r w:rsidR="00FF1ED3">
        <w:rPr>
          <w:rFonts w:ascii="Cambria" w:hAnsi="Cambria"/>
          <w:sz w:val="24"/>
          <w:szCs w:val="24"/>
        </w:rPr>
        <w:t>état</w:t>
      </w:r>
      <w:r w:rsidR="002F79A7">
        <w:rPr>
          <w:rFonts w:ascii="Cambria" w:hAnsi="Cambria"/>
          <w:sz w:val="24"/>
          <w:szCs w:val="24"/>
        </w:rPr>
        <w:t xml:space="preserve"> d’un solde </w:t>
      </w:r>
      <w:r w:rsidR="00FF1ED3">
        <w:rPr>
          <w:rFonts w:ascii="Cambria" w:hAnsi="Cambria"/>
          <w:sz w:val="24"/>
          <w:szCs w:val="24"/>
        </w:rPr>
        <w:t>budgétaire</w:t>
      </w:r>
      <w:r w:rsidR="002F79A7">
        <w:rPr>
          <w:rFonts w:ascii="Cambria" w:hAnsi="Cambria"/>
          <w:sz w:val="24"/>
          <w:szCs w:val="24"/>
        </w:rPr>
        <w:t xml:space="preserve"> </w:t>
      </w:r>
      <w:r w:rsidR="00FF1ED3">
        <w:rPr>
          <w:rFonts w:ascii="Cambria" w:hAnsi="Cambria"/>
          <w:sz w:val="24"/>
          <w:szCs w:val="24"/>
        </w:rPr>
        <w:t>négatif</w:t>
      </w:r>
      <w:r w:rsidR="002F79A7">
        <w:rPr>
          <w:rFonts w:ascii="Cambria" w:hAnsi="Cambria"/>
          <w:sz w:val="24"/>
          <w:szCs w:val="24"/>
        </w:rPr>
        <w:t xml:space="preserve"> de 1.5% du PIB nominal alors que des pays comme la </w:t>
      </w:r>
      <w:r w:rsidR="00FF1ED3">
        <w:rPr>
          <w:rFonts w:ascii="Cambria" w:hAnsi="Cambria"/>
          <w:sz w:val="24"/>
          <w:szCs w:val="24"/>
        </w:rPr>
        <w:t>Guinée</w:t>
      </w:r>
      <w:r w:rsidR="002F79A7">
        <w:rPr>
          <w:rFonts w:ascii="Cambria" w:hAnsi="Cambria"/>
          <w:sz w:val="24"/>
          <w:szCs w:val="24"/>
        </w:rPr>
        <w:t xml:space="preserve"> </w:t>
      </w:r>
      <w:proofErr w:type="spellStart"/>
      <w:r w:rsidR="002F79A7">
        <w:rPr>
          <w:rFonts w:ascii="Cambria" w:hAnsi="Cambria"/>
          <w:sz w:val="24"/>
          <w:szCs w:val="24"/>
        </w:rPr>
        <w:t>Buissau</w:t>
      </w:r>
      <w:proofErr w:type="spellEnd"/>
      <w:r w:rsidR="002F79A7">
        <w:rPr>
          <w:rFonts w:ascii="Cambria" w:hAnsi="Cambria"/>
          <w:sz w:val="24"/>
          <w:szCs w:val="24"/>
        </w:rPr>
        <w:t xml:space="preserve"> ou encore la </w:t>
      </w:r>
      <w:r w:rsidR="002F79A7" w:rsidRPr="00B569B5">
        <w:rPr>
          <w:rFonts w:asciiTheme="majorHAnsi" w:hAnsiTheme="majorHAnsi"/>
          <w:sz w:val="24"/>
          <w:szCs w:val="24"/>
        </w:rPr>
        <w:t>C</w:t>
      </w:r>
      <w:r w:rsidRPr="00B569B5">
        <w:rPr>
          <w:rFonts w:asciiTheme="majorHAnsi" w:hAnsiTheme="majorHAnsi" w:cs="Arial"/>
          <w:sz w:val="24"/>
          <w:szCs w:val="24"/>
        </w:rPr>
        <w:t>ô</w:t>
      </w:r>
      <w:r w:rsidR="002F79A7" w:rsidRPr="00B569B5">
        <w:rPr>
          <w:rFonts w:asciiTheme="majorHAnsi" w:hAnsiTheme="majorHAnsi"/>
          <w:sz w:val="24"/>
          <w:szCs w:val="24"/>
        </w:rPr>
        <w:t>te d’Ivoire</w:t>
      </w:r>
      <w:r w:rsidR="002F79A7">
        <w:rPr>
          <w:rFonts w:ascii="Cambria" w:hAnsi="Cambria"/>
          <w:sz w:val="24"/>
          <w:szCs w:val="24"/>
        </w:rPr>
        <w:t xml:space="preserve"> enregistrent des soldes </w:t>
      </w:r>
      <w:r w:rsidR="00FF1ED3">
        <w:rPr>
          <w:rFonts w:ascii="Cambria" w:hAnsi="Cambria"/>
          <w:sz w:val="24"/>
          <w:szCs w:val="24"/>
        </w:rPr>
        <w:t>excédentaires</w:t>
      </w:r>
      <w:r w:rsidR="002F79A7">
        <w:rPr>
          <w:rFonts w:ascii="Cambria" w:hAnsi="Cambria"/>
          <w:sz w:val="24"/>
          <w:szCs w:val="24"/>
        </w:rPr>
        <w:t xml:space="preserve"> de 1.4% et 0.2% respectivement. Au regard de ces </w:t>
      </w:r>
      <w:r w:rsidR="00FF1ED3">
        <w:rPr>
          <w:rFonts w:ascii="Cambria" w:hAnsi="Cambria"/>
          <w:sz w:val="24"/>
          <w:szCs w:val="24"/>
        </w:rPr>
        <w:t>données</w:t>
      </w:r>
      <w:r w:rsidR="002F79A7">
        <w:rPr>
          <w:rFonts w:ascii="Cambria" w:hAnsi="Cambria"/>
          <w:sz w:val="24"/>
          <w:szCs w:val="24"/>
        </w:rPr>
        <w:t xml:space="preserve">, on se demande comment notre Ministre de l’Economie a pu se permettre de fourvoyer les autres membres du Gouvernement en leur faisant croire que le </w:t>
      </w:r>
      <w:r w:rsidR="00FF1ED3">
        <w:rPr>
          <w:rFonts w:ascii="Cambria" w:hAnsi="Cambria"/>
          <w:sz w:val="24"/>
          <w:szCs w:val="24"/>
        </w:rPr>
        <w:t>Sénégal</w:t>
      </w:r>
      <w:r w:rsidR="002F79A7">
        <w:rPr>
          <w:rFonts w:ascii="Cambria" w:hAnsi="Cambria"/>
          <w:sz w:val="24"/>
          <w:szCs w:val="24"/>
        </w:rPr>
        <w:t xml:space="preserve"> est </w:t>
      </w:r>
      <w:r w:rsidR="00FF1ED3">
        <w:rPr>
          <w:rFonts w:ascii="Cambria" w:hAnsi="Cambria"/>
          <w:sz w:val="24"/>
          <w:szCs w:val="24"/>
        </w:rPr>
        <w:t>cité</w:t>
      </w:r>
      <w:r w:rsidR="002F79A7">
        <w:rPr>
          <w:rFonts w:ascii="Cambria" w:hAnsi="Cambria"/>
          <w:sz w:val="24"/>
          <w:szCs w:val="24"/>
        </w:rPr>
        <w:t xml:space="preserve"> partout en exemple. </w:t>
      </w:r>
      <w:proofErr w:type="gramStart"/>
      <w:r w:rsidR="002F79A7">
        <w:rPr>
          <w:rFonts w:ascii="Cambria" w:hAnsi="Cambria"/>
          <w:sz w:val="24"/>
          <w:szCs w:val="24"/>
        </w:rPr>
        <w:t>Tout</w:t>
      </w:r>
      <w:proofErr w:type="gramEnd"/>
      <w:r w:rsidR="002F79A7">
        <w:rPr>
          <w:rFonts w:ascii="Cambria" w:hAnsi="Cambria"/>
          <w:sz w:val="24"/>
          <w:szCs w:val="24"/>
        </w:rPr>
        <w:t xml:space="preserve"> porte à croire que c’est plutôt le Sénégal qui devrait se renseigner en Guinée </w:t>
      </w:r>
      <w:proofErr w:type="spellStart"/>
      <w:r w:rsidR="002F79A7">
        <w:rPr>
          <w:rFonts w:ascii="Cambria" w:hAnsi="Cambria"/>
          <w:sz w:val="24"/>
          <w:szCs w:val="24"/>
        </w:rPr>
        <w:t>Buissau</w:t>
      </w:r>
      <w:proofErr w:type="spellEnd"/>
      <w:r w:rsidR="002F79A7">
        <w:rPr>
          <w:rFonts w:ascii="Cambria" w:hAnsi="Cambria"/>
          <w:sz w:val="24"/>
          <w:szCs w:val="24"/>
        </w:rPr>
        <w:t xml:space="preserve"> ou au Togo pour r</w:t>
      </w:r>
      <w:r w:rsidR="002F79A7" w:rsidRPr="002F79A7">
        <w:rPr>
          <w:rFonts w:ascii="Cambria" w:hAnsi="Cambria"/>
          <w:sz w:val="24"/>
          <w:szCs w:val="24"/>
        </w:rPr>
        <w:t>é</w:t>
      </w:r>
      <w:r w:rsidR="002F79A7">
        <w:rPr>
          <w:rFonts w:ascii="Cambria" w:hAnsi="Cambria"/>
          <w:sz w:val="24"/>
          <w:szCs w:val="24"/>
        </w:rPr>
        <w:t xml:space="preserve">apprendre les règles élémentaires d’une bonne </w:t>
      </w:r>
      <w:r w:rsidR="00FF1ED3">
        <w:rPr>
          <w:rFonts w:ascii="Cambria" w:hAnsi="Cambria"/>
          <w:sz w:val="24"/>
          <w:szCs w:val="24"/>
        </w:rPr>
        <w:t>comptabilité</w:t>
      </w:r>
      <w:r w:rsidR="002F79A7">
        <w:rPr>
          <w:rFonts w:ascii="Cambria" w:hAnsi="Cambria"/>
          <w:sz w:val="24"/>
          <w:szCs w:val="24"/>
        </w:rPr>
        <w:t>.</w:t>
      </w:r>
      <w:r w:rsidR="00B03AF9">
        <w:rPr>
          <w:rFonts w:ascii="Cambria" w:hAnsi="Cambria"/>
          <w:sz w:val="24"/>
          <w:szCs w:val="24"/>
        </w:rPr>
        <w:t xml:space="preserve"> Le Sénégal est le seul pays, au sein de l’UEMOA, qui </w:t>
      </w:r>
      <w:r w:rsidR="001278D7">
        <w:rPr>
          <w:rFonts w:ascii="Cambria" w:hAnsi="Cambria"/>
          <w:sz w:val="24"/>
          <w:szCs w:val="24"/>
        </w:rPr>
        <w:t>soit en passe de violer le</w:t>
      </w:r>
      <w:r w:rsidR="00B03AF9">
        <w:rPr>
          <w:rFonts w:ascii="Cambria" w:hAnsi="Cambria"/>
          <w:sz w:val="24"/>
          <w:szCs w:val="24"/>
        </w:rPr>
        <w:t xml:space="preserve"> </w:t>
      </w:r>
      <w:r w:rsidR="00B03AF9" w:rsidRPr="00B03AF9">
        <w:rPr>
          <w:rFonts w:ascii="Cambria" w:hAnsi="Cambria"/>
          <w:sz w:val="24"/>
          <w:szCs w:val="24"/>
        </w:rPr>
        <w:t xml:space="preserve">premier critère de convergence économique </w:t>
      </w:r>
      <w:r w:rsidR="00B03AF9">
        <w:rPr>
          <w:rFonts w:ascii="Cambria" w:hAnsi="Cambria"/>
          <w:sz w:val="24"/>
          <w:szCs w:val="24"/>
        </w:rPr>
        <w:t>(</w:t>
      </w:r>
      <w:proofErr w:type="gramStart"/>
      <w:r w:rsidR="00B03AF9">
        <w:rPr>
          <w:rFonts w:ascii="Cambria" w:hAnsi="Cambria"/>
          <w:sz w:val="24"/>
          <w:szCs w:val="24"/>
        </w:rPr>
        <w:t>e.g.,</w:t>
      </w:r>
      <w:proofErr w:type="gramEnd"/>
      <w:r w:rsidR="00B03AF9">
        <w:rPr>
          <w:rFonts w:ascii="Cambria" w:hAnsi="Cambria"/>
          <w:sz w:val="24"/>
          <w:szCs w:val="24"/>
        </w:rPr>
        <w:t xml:space="preserve"> solde budgétaire) au cours de l’année 2010. Cela démontre, sans ambages, le laxisme de l’actuel gouvernement quant </w:t>
      </w:r>
      <w:r w:rsidR="00CF261B">
        <w:rPr>
          <w:rFonts w:ascii="Cambria" w:hAnsi="Cambria"/>
          <w:sz w:val="24"/>
          <w:szCs w:val="24"/>
        </w:rPr>
        <w:t>à</w:t>
      </w:r>
      <w:r w:rsidR="00B03AF9">
        <w:rPr>
          <w:rFonts w:ascii="Cambria" w:hAnsi="Cambria"/>
          <w:sz w:val="24"/>
          <w:szCs w:val="24"/>
        </w:rPr>
        <w:t xml:space="preserve"> la </w:t>
      </w:r>
      <w:r w:rsidR="00CF261B">
        <w:rPr>
          <w:rFonts w:ascii="Cambria" w:hAnsi="Cambria"/>
          <w:sz w:val="24"/>
          <w:szCs w:val="24"/>
        </w:rPr>
        <w:t>maîtrise</w:t>
      </w:r>
      <w:r w:rsidR="00B03AF9">
        <w:rPr>
          <w:rFonts w:ascii="Cambria" w:hAnsi="Cambria"/>
          <w:sz w:val="24"/>
          <w:szCs w:val="24"/>
        </w:rPr>
        <w:t xml:space="preserve"> de sa propre politique budgétaire.</w:t>
      </w:r>
    </w:p>
    <w:p w:rsidR="004370EE" w:rsidRDefault="004370EE" w:rsidP="00674C9C">
      <w:pPr>
        <w:pStyle w:val="ListParagraph"/>
        <w:ind w:left="0"/>
        <w:jc w:val="both"/>
        <w:rPr>
          <w:rFonts w:ascii="Cambria" w:hAnsi="Cambria"/>
          <w:sz w:val="24"/>
          <w:szCs w:val="24"/>
        </w:rPr>
      </w:pPr>
    </w:p>
    <w:p w:rsidR="004370EE" w:rsidRDefault="004370EE" w:rsidP="00674C9C">
      <w:pPr>
        <w:pStyle w:val="ListParagraph"/>
        <w:ind w:left="0"/>
        <w:jc w:val="both"/>
        <w:rPr>
          <w:rFonts w:ascii="Cambria" w:hAnsi="Cambria"/>
          <w:sz w:val="24"/>
          <w:szCs w:val="24"/>
        </w:rPr>
      </w:pPr>
      <w:r w:rsidRPr="004370EE">
        <w:rPr>
          <w:rFonts w:ascii="Cambria" w:hAnsi="Cambria"/>
          <w:noProof/>
          <w:sz w:val="24"/>
          <w:szCs w:val="24"/>
          <w:lang w:val="en-US"/>
        </w:rPr>
        <w:drawing>
          <wp:inline distT="0" distB="0" distL="0" distR="0">
            <wp:extent cx="5778390" cy="3196424"/>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370EE" w:rsidRDefault="004370EE" w:rsidP="00674C9C">
      <w:pPr>
        <w:pStyle w:val="ListParagraph"/>
        <w:ind w:left="0"/>
        <w:jc w:val="both"/>
        <w:rPr>
          <w:rFonts w:ascii="Cambria" w:hAnsi="Cambria"/>
          <w:sz w:val="24"/>
          <w:szCs w:val="24"/>
        </w:rPr>
      </w:pPr>
    </w:p>
    <w:p w:rsidR="0011041D" w:rsidRPr="0008466D" w:rsidRDefault="0011041D" w:rsidP="00674C9C">
      <w:pPr>
        <w:pStyle w:val="ListParagraph"/>
        <w:ind w:left="0"/>
        <w:jc w:val="both"/>
        <w:rPr>
          <w:rFonts w:ascii="Cambria" w:hAnsi="Cambria"/>
          <w:sz w:val="24"/>
          <w:szCs w:val="24"/>
        </w:rPr>
      </w:pPr>
      <w:r w:rsidRPr="0008466D">
        <w:rPr>
          <w:rFonts w:ascii="Cambria" w:hAnsi="Cambria"/>
          <w:sz w:val="24"/>
          <w:szCs w:val="24"/>
        </w:rPr>
        <w:t xml:space="preserve">Avec les </w:t>
      </w:r>
      <w:r w:rsidR="00A26DB1" w:rsidRPr="0008466D">
        <w:rPr>
          <w:rFonts w:ascii="Cambria" w:hAnsi="Cambria"/>
          <w:sz w:val="24"/>
          <w:szCs w:val="24"/>
        </w:rPr>
        <w:t>échéances</w:t>
      </w:r>
      <w:r w:rsidRPr="0008466D">
        <w:rPr>
          <w:rFonts w:ascii="Cambria" w:hAnsi="Cambria"/>
          <w:sz w:val="24"/>
          <w:szCs w:val="24"/>
        </w:rPr>
        <w:t xml:space="preserve"> </w:t>
      </w:r>
      <w:r w:rsidR="00A26DB1" w:rsidRPr="0008466D">
        <w:rPr>
          <w:rFonts w:ascii="Cambria" w:hAnsi="Cambria"/>
          <w:sz w:val="24"/>
          <w:szCs w:val="24"/>
        </w:rPr>
        <w:t>électorales</w:t>
      </w:r>
      <w:r w:rsidRPr="0008466D">
        <w:rPr>
          <w:rFonts w:ascii="Cambria" w:hAnsi="Cambria"/>
          <w:sz w:val="24"/>
          <w:szCs w:val="24"/>
        </w:rPr>
        <w:t xml:space="preserve"> en vue, les </w:t>
      </w:r>
      <w:r w:rsidR="00A26DB1" w:rsidRPr="0008466D">
        <w:rPr>
          <w:rFonts w:ascii="Cambria" w:hAnsi="Cambria"/>
          <w:sz w:val="24"/>
          <w:szCs w:val="24"/>
        </w:rPr>
        <w:t>prévisions</w:t>
      </w:r>
      <w:r w:rsidRPr="0008466D">
        <w:rPr>
          <w:rFonts w:ascii="Cambria" w:hAnsi="Cambria"/>
          <w:sz w:val="24"/>
          <w:szCs w:val="24"/>
        </w:rPr>
        <w:t xml:space="preserve"> font </w:t>
      </w:r>
      <w:r w:rsidR="00A26DB1" w:rsidRPr="0008466D">
        <w:rPr>
          <w:rFonts w:ascii="Cambria" w:hAnsi="Cambria"/>
          <w:sz w:val="24"/>
          <w:szCs w:val="24"/>
        </w:rPr>
        <w:t>état</w:t>
      </w:r>
      <w:r w:rsidRPr="0008466D">
        <w:rPr>
          <w:rFonts w:ascii="Cambria" w:hAnsi="Cambria"/>
          <w:sz w:val="24"/>
          <w:szCs w:val="24"/>
        </w:rPr>
        <w:t xml:space="preserve"> d’une d</w:t>
      </w:r>
      <w:r w:rsidR="00A26DB1" w:rsidRPr="0008466D">
        <w:rPr>
          <w:rFonts w:ascii="Cambria" w:hAnsi="Cambria"/>
          <w:sz w:val="24"/>
          <w:szCs w:val="24"/>
        </w:rPr>
        <w:t>é</w:t>
      </w:r>
      <w:r w:rsidRPr="0008466D">
        <w:rPr>
          <w:rFonts w:ascii="Cambria" w:hAnsi="Cambria"/>
          <w:sz w:val="24"/>
          <w:szCs w:val="24"/>
        </w:rPr>
        <w:t>t</w:t>
      </w:r>
      <w:r w:rsidR="00A26DB1" w:rsidRPr="0008466D">
        <w:rPr>
          <w:rFonts w:ascii="Cambria" w:hAnsi="Cambria"/>
          <w:sz w:val="24"/>
          <w:szCs w:val="24"/>
        </w:rPr>
        <w:t>é</w:t>
      </w:r>
      <w:r w:rsidRPr="0008466D">
        <w:rPr>
          <w:rFonts w:ascii="Cambria" w:hAnsi="Cambria"/>
          <w:sz w:val="24"/>
          <w:szCs w:val="24"/>
        </w:rPr>
        <w:t>rioration du solde budg</w:t>
      </w:r>
      <w:r w:rsidR="00A26DB1" w:rsidRPr="0008466D">
        <w:rPr>
          <w:rFonts w:ascii="Cambria" w:hAnsi="Cambria"/>
          <w:sz w:val="24"/>
          <w:szCs w:val="24"/>
        </w:rPr>
        <w:t>é</w:t>
      </w:r>
      <w:r w:rsidRPr="0008466D">
        <w:rPr>
          <w:rFonts w:ascii="Cambria" w:hAnsi="Cambria"/>
          <w:sz w:val="24"/>
          <w:szCs w:val="24"/>
        </w:rPr>
        <w:t xml:space="preserve">taire et de la dette publique que les </w:t>
      </w:r>
      <w:r w:rsidR="00A26DB1" w:rsidRPr="0008466D">
        <w:rPr>
          <w:rFonts w:ascii="Cambria" w:hAnsi="Cambria"/>
          <w:sz w:val="24"/>
          <w:szCs w:val="24"/>
        </w:rPr>
        <w:t>générations</w:t>
      </w:r>
      <w:r w:rsidRPr="0008466D">
        <w:rPr>
          <w:rFonts w:ascii="Cambria" w:hAnsi="Cambria"/>
          <w:sz w:val="24"/>
          <w:szCs w:val="24"/>
        </w:rPr>
        <w:t xml:space="preserve"> futures </w:t>
      </w:r>
      <w:r w:rsidR="00515DD3">
        <w:rPr>
          <w:rFonts w:ascii="Cambria" w:hAnsi="Cambria"/>
          <w:sz w:val="24"/>
          <w:szCs w:val="24"/>
        </w:rPr>
        <w:t>aur</w:t>
      </w:r>
      <w:r w:rsidRPr="0008466D">
        <w:rPr>
          <w:rFonts w:ascii="Cambria" w:hAnsi="Cambria"/>
          <w:sz w:val="24"/>
          <w:szCs w:val="24"/>
        </w:rPr>
        <w:t>ont le lourd fardeau de porter. Comment s’</w:t>
      </w:r>
      <w:r w:rsidR="00A26DB1" w:rsidRPr="0008466D">
        <w:rPr>
          <w:rFonts w:ascii="Cambria" w:hAnsi="Cambria"/>
          <w:sz w:val="24"/>
          <w:szCs w:val="24"/>
        </w:rPr>
        <w:t>é</w:t>
      </w:r>
      <w:r w:rsidRPr="0008466D">
        <w:rPr>
          <w:rFonts w:ascii="Cambria" w:hAnsi="Cambria"/>
          <w:sz w:val="24"/>
          <w:szCs w:val="24"/>
        </w:rPr>
        <w:t xml:space="preserve">tonner d’un tel </w:t>
      </w:r>
      <w:r w:rsidR="00A26DB1" w:rsidRPr="0008466D">
        <w:rPr>
          <w:rFonts w:ascii="Cambria" w:hAnsi="Cambria"/>
          <w:sz w:val="24"/>
          <w:szCs w:val="24"/>
        </w:rPr>
        <w:t>dérapage</w:t>
      </w:r>
      <w:r w:rsidRPr="0008466D">
        <w:rPr>
          <w:rFonts w:ascii="Cambria" w:hAnsi="Cambria"/>
          <w:sz w:val="24"/>
          <w:szCs w:val="24"/>
        </w:rPr>
        <w:t xml:space="preserve"> dans les </w:t>
      </w:r>
      <w:r w:rsidR="00A26DB1" w:rsidRPr="0008466D">
        <w:rPr>
          <w:rFonts w:ascii="Cambria" w:hAnsi="Cambria"/>
          <w:sz w:val="24"/>
          <w:szCs w:val="24"/>
        </w:rPr>
        <w:t>dépenses</w:t>
      </w:r>
      <w:r w:rsidRPr="0008466D">
        <w:rPr>
          <w:rFonts w:ascii="Cambria" w:hAnsi="Cambria"/>
          <w:sz w:val="24"/>
          <w:szCs w:val="24"/>
        </w:rPr>
        <w:t xml:space="preserve"> de l’Etat lorsque des m</w:t>
      </w:r>
      <w:r w:rsidR="00A26DB1" w:rsidRPr="0008466D">
        <w:rPr>
          <w:rFonts w:ascii="Cambria" w:hAnsi="Cambria"/>
          <w:sz w:val="24"/>
          <w:szCs w:val="24"/>
        </w:rPr>
        <w:t>é</w:t>
      </w:r>
      <w:r w:rsidRPr="0008466D">
        <w:rPr>
          <w:rFonts w:ascii="Cambria" w:hAnsi="Cambria"/>
          <w:sz w:val="24"/>
          <w:szCs w:val="24"/>
        </w:rPr>
        <w:t xml:space="preserve">canismes stricts de contrôle ne sont pas </w:t>
      </w:r>
      <w:r w:rsidR="005367B8">
        <w:rPr>
          <w:rFonts w:ascii="Cambria" w:hAnsi="Cambria"/>
          <w:sz w:val="24"/>
          <w:szCs w:val="24"/>
        </w:rPr>
        <w:t>appliqu</w:t>
      </w:r>
      <w:r w:rsidR="00515DD3" w:rsidRPr="0008466D">
        <w:rPr>
          <w:rFonts w:ascii="Cambria" w:hAnsi="Cambria"/>
          <w:sz w:val="24"/>
          <w:szCs w:val="24"/>
        </w:rPr>
        <w:t>és</w:t>
      </w:r>
      <w:r w:rsidRPr="0008466D">
        <w:rPr>
          <w:rFonts w:ascii="Cambria" w:hAnsi="Cambria"/>
          <w:sz w:val="24"/>
          <w:szCs w:val="24"/>
        </w:rPr>
        <w:t xml:space="preserve"> dans l’</w:t>
      </w:r>
      <w:r w:rsidR="00A26DB1" w:rsidRPr="0008466D">
        <w:rPr>
          <w:rFonts w:ascii="Cambria" w:hAnsi="Cambria"/>
          <w:sz w:val="24"/>
          <w:szCs w:val="24"/>
        </w:rPr>
        <w:t>exécution</w:t>
      </w:r>
      <w:r w:rsidRPr="0008466D">
        <w:rPr>
          <w:rFonts w:ascii="Cambria" w:hAnsi="Cambria"/>
          <w:sz w:val="24"/>
          <w:szCs w:val="24"/>
        </w:rPr>
        <w:t xml:space="preserve"> du budget, surtout lorsque l’ordre </w:t>
      </w:r>
      <w:r w:rsidR="00A26DB1" w:rsidRPr="0008466D">
        <w:rPr>
          <w:rFonts w:ascii="Cambria" w:hAnsi="Cambria"/>
          <w:sz w:val="24"/>
          <w:szCs w:val="24"/>
        </w:rPr>
        <w:t>émane</w:t>
      </w:r>
      <w:r w:rsidRPr="0008466D">
        <w:rPr>
          <w:rFonts w:ascii="Cambria" w:hAnsi="Cambria"/>
          <w:sz w:val="24"/>
          <w:szCs w:val="24"/>
        </w:rPr>
        <w:t xml:space="preserve"> du fils du </w:t>
      </w:r>
      <w:r w:rsidR="00A26DB1" w:rsidRPr="0008466D">
        <w:rPr>
          <w:rFonts w:ascii="Cambria" w:hAnsi="Cambria"/>
          <w:sz w:val="24"/>
          <w:szCs w:val="24"/>
        </w:rPr>
        <w:t>Président</w:t>
      </w:r>
      <w:r w:rsidRPr="0008466D">
        <w:rPr>
          <w:rFonts w:ascii="Cambria" w:hAnsi="Cambria"/>
          <w:sz w:val="24"/>
          <w:szCs w:val="24"/>
        </w:rPr>
        <w:t xml:space="preserve"> ? </w:t>
      </w:r>
    </w:p>
    <w:p w:rsidR="00B178C5" w:rsidRDefault="00B178C5" w:rsidP="00674C9C">
      <w:pPr>
        <w:pStyle w:val="ListParagraph"/>
        <w:ind w:left="0"/>
        <w:jc w:val="both"/>
        <w:rPr>
          <w:rFonts w:ascii="Cambria" w:hAnsi="Cambria"/>
          <w:sz w:val="24"/>
          <w:szCs w:val="24"/>
        </w:rPr>
      </w:pPr>
    </w:p>
    <w:p w:rsidR="00493837" w:rsidRPr="0008466D" w:rsidRDefault="0032364F" w:rsidP="00B178C5">
      <w:pPr>
        <w:pStyle w:val="ListParagraph"/>
        <w:ind w:left="0"/>
        <w:jc w:val="both"/>
        <w:rPr>
          <w:rFonts w:ascii="Cambria" w:hAnsi="Cambria"/>
          <w:sz w:val="24"/>
          <w:szCs w:val="24"/>
        </w:rPr>
      </w:pPr>
      <w:r w:rsidRPr="0008466D">
        <w:rPr>
          <w:rFonts w:ascii="Cambria" w:hAnsi="Cambria"/>
          <w:sz w:val="24"/>
          <w:szCs w:val="24"/>
        </w:rPr>
        <w:t>Avec les sommes faramineuses</w:t>
      </w:r>
      <w:r w:rsidR="0011041D" w:rsidRPr="0008466D">
        <w:rPr>
          <w:rFonts w:ascii="Cambria" w:hAnsi="Cambria"/>
          <w:sz w:val="24"/>
          <w:szCs w:val="24"/>
        </w:rPr>
        <w:t xml:space="preserve"> </w:t>
      </w:r>
      <w:r w:rsidRPr="0008466D">
        <w:rPr>
          <w:rFonts w:ascii="Cambria" w:hAnsi="Cambria"/>
          <w:sz w:val="24"/>
          <w:szCs w:val="24"/>
        </w:rPr>
        <w:t>englouties dans l</w:t>
      </w:r>
      <w:r w:rsidR="0011041D" w:rsidRPr="0008466D">
        <w:rPr>
          <w:rFonts w:ascii="Cambria" w:hAnsi="Cambria"/>
          <w:sz w:val="24"/>
          <w:szCs w:val="24"/>
        </w:rPr>
        <w:t>e fameux</w:t>
      </w:r>
      <w:r w:rsidRPr="0008466D">
        <w:rPr>
          <w:rFonts w:ascii="Cambria" w:hAnsi="Cambria"/>
          <w:sz w:val="24"/>
          <w:szCs w:val="24"/>
        </w:rPr>
        <w:t xml:space="preserve"> plan </w:t>
      </w:r>
      <w:proofErr w:type="spellStart"/>
      <w:r w:rsidRPr="0008466D">
        <w:rPr>
          <w:rFonts w:ascii="Cambria" w:hAnsi="Cambria"/>
          <w:sz w:val="24"/>
          <w:szCs w:val="24"/>
        </w:rPr>
        <w:t>Takkal</w:t>
      </w:r>
      <w:proofErr w:type="spellEnd"/>
      <w:r w:rsidRPr="0008466D">
        <w:rPr>
          <w:rFonts w:ascii="Cambria" w:hAnsi="Cambria"/>
          <w:sz w:val="24"/>
          <w:szCs w:val="24"/>
        </w:rPr>
        <w:t xml:space="preserve"> qui </w:t>
      </w:r>
      <w:r w:rsidR="005367B8" w:rsidRPr="0008466D">
        <w:rPr>
          <w:rFonts w:ascii="Cambria" w:hAnsi="Cambria"/>
          <w:sz w:val="24"/>
          <w:szCs w:val="24"/>
        </w:rPr>
        <w:t>coûte</w:t>
      </w:r>
      <w:r w:rsidRPr="0008466D">
        <w:rPr>
          <w:rFonts w:ascii="Cambria" w:hAnsi="Cambria"/>
          <w:sz w:val="24"/>
          <w:szCs w:val="24"/>
        </w:rPr>
        <w:t xml:space="preserve"> aux contribuables </w:t>
      </w:r>
      <w:r w:rsidR="00A26DB1" w:rsidRPr="0008466D">
        <w:rPr>
          <w:rFonts w:ascii="Cambria" w:hAnsi="Cambria"/>
          <w:sz w:val="24"/>
          <w:szCs w:val="24"/>
        </w:rPr>
        <w:t>sénégalais</w:t>
      </w:r>
      <w:r w:rsidRPr="0008466D">
        <w:rPr>
          <w:rFonts w:ascii="Cambria" w:hAnsi="Cambria"/>
          <w:sz w:val="24"/>
          <w:szCs w:val="24"/>
        </w:rPr>
        <w:t xml:space="preserve"> la bagatelle de </w:t>
      </w:r>
      <w:r w:rsidR="0011041D" w:rsidRPr="0008466D">
        <w:rPr>
          <w:rFonts w:ascii="Cambria" w:hAnsi="Cambria"/>
          <w:sz w:val="24"/>
          <w:szCs w:val="24"/>
        </w:rPr>
        <w:t>675 milliards de FCFA, le probl</w:t>
      </w:r>
      <w:r w:rsidR="007E7F94" w:rsidRPr="0008466D">
        <w:rPr>
          <w:rFonts w:ascii="Cambria" w:hAnsi="Cambria"/>
          <w:sz w:val="24"/>
          <w:szCs w:val="24"/>
        </w:rPr>
        <w:t>è</w:t>
      </w:r>
      <w:r w:rsidR="0011041D" w:rsidRPr="0008466D">
        <w:rPr>
          <w:rFonts w:ascii="Cambria" w:hAnsi="Cambria"/>
          <w:sz w:val="24"/>
          <w:szCs w:val="24"/>
        </w:rPr>
        <w:t>me de l’</w:t>
      </w:r>
      <w:r w:rsidR="00A26DB1" w:rsidRPr="0008466D">
        <w:rPr>
          <w:rFonts w:ascii="Cambria" w:hAnsi="Cambria"/>
          <w:sz w:val="24"/>
          <w:szCs w:val="24"/>
        </w:rPr>
        <w:t>électricité</w:t>
      </w:r>
      <w:r w:rsidR="0011041D" w:rsidRPr="0008466D">
        <w:rPr>
          <w:rFonts w:ascii="Cambria" w:hAnsi="Cambria"/>
          <w:sz w:val="24"/>
          <w:szCs w:val="24"/>
        </w:rPr>
        <w:t xml:space="preserve"> dont souffre le </w:t>
      </w:r>
      <w:r w:rsidR="00A26DB1" w:rsidRPr="0008466D">
        <w:rPr>
          <w:rFonts w:ascii="Cambria" w:hAnsi="Cambria"/>
          <w:sz w:val="24"/>
          <w:szCs w:val="24"/>
        </w:rPr>
        <w:t>sénégalais</w:t>
      </w:r>
      <w:r w:rsidR="0011041D" w:rsidRPr="0008466D">
        <w:rPr>
          <w:rFonts w:ascii="Cambria" w:hAnsi="Cambria"/>
          <w:sz w:val="24"/>
          <w:szCs w:val="24"/>
        </w:rPr>
        <w:t xml:space="preserve"> moyen chaque jour, n’est encore pas </w:t>
      </w:r>
      <w:r w:rsidR="00201A6A" w:rsidRPr="0008466D">
        <w:rPr>
          <w:rFonts w:ascii="Cambria" w:hAnsi="Cambria"/>
          <w:sz w:val="24"/>
          <w:szCs w:val="24"/>
        </w:rPr>
        <w:t>régl</w:t>
      </w:r>
      <w:r w:rsidR="00201A6A" w:rsidRPr="00201A6A">
        <w:rPr>
          <w:rFonts w:ascii="Cambria" w:hAnsi="Cambria"/>
          <w:sz w:val="24"/>
          <w:szCs w:val="24"/>
        </w:rPr>
        <w:t>é</w:t>
      </w:r>
      <w:r w:rsidR="0011041D" w:rsidRPr="0008466D">
        <w:rPr>
          <w:rFonts w:ascii="Cambria" w:hAnsi="Cambria"/>
          <w:sz w:val="24"/>
          <w:szCs w:val="24"/>
        </w:rPr>
        <w:t xml:space="preserve"> en </w:t>
      </w:r>
      <w:r w:rsidR="00A26DB1" w:rsidRPr="0008466D">
        <w:rPr>
          <w:rFonts w:ascii="Cambria" w:hAnsi="Cambria"/>
          <w:sz w:val="24"/>
          <w:szCs w:val="24"/>
        </w:rPr>
        <w:t>dépit</w:t>
      </w:r>
      <w:r w:rsidR="0011041D" w:rsidRPr="0008466D">
        <w:rPr>
          <w:rFonts w:ascii="Cambria" w:hAnsi="Cambria"/>
          <w:sz w:val="24"/>
          <w:szCs w:val="24"/>
        </w:rPr>
        <w:t xml:space="preserve"> des nombreuses promesses faites par le pass</w:t>
      </w:r>
      <w:r w:rsidR="00201A6A" w:rsidRPr="00201A6A">
        <w:rPr>
          <w:rFonts w:ascii="Cambria" w:hAnsi="Cambria"/>
          <w:sz w:val="24"/>
          <w:szCs w:val="24"/>
        </w:rPr>
        <w:t>é</w:t>
      </w:r>
      <w:r w:rsidR="007A711E">
        <w:rPr>
          <w:rStyle w:val="FootnoteReference"/>
          <w:rFonts w:ascii="Cambria" w:hAnsi="Cambria"/>
          <w:sz w:val="24"/>
          <w:szCs w:val="24"/>
        </w:rPr>
        <w:footnoteReference w:id="1"/>
      </w:r>
      <w:r w:rsidR="0011041D" w:rsidRPr="0008466D">
        <w:rPr>
          <w:rFonts w:ascii="Cambria" w:hAnsi="Cambria"/>
          <w:sz w:val="24"/>
          <w:szCs w:val="24"/>
        </w:rPr>
        <w:t xml:space="preserve">. </w:t>
      </w:r>
      <w:r w:rsidR="003936FD" w:rsidRPr="0008466D">
        <w:rPr>
          <w:rFonts w:ascii="Cambria" w:hAnsi="Cambria"/>
          <w:sz w:val="24"/>
          <w:szCs w:val="24"/>
        </w:rPr>
        <w:t>Le probl</w:t>
      </w:r>
      <w:r w:rsidR="007E7F94" w:rsidRPr="0008466D">
        <w:rPr>
          <w:rFonts w:ascii="Cambria" w:hAnsi="Cambria"/>
          <w:sz w:val="24"/>
          <w:szCs w:val="24"/>
        </w:rPr>
        <w:t>è</w:t>
      </w:r>
      <w:r w:rsidR="003936FD" w:rsidRPr="0008466D">
        <w:rPr>
          <w:rFonts w:ascii="Cambria" w:hAnsi="Cambria"/>
          <w:sz w:val="24"/>
          <w:szCs w:val="24"/>
        </w:rPr>
        <w:t xml:space="preserve">me </w:t>
      </w:r>
      <w:r w:rsidR="005367B8">
        <w:rPr>
          <w:rFonts w:ascii="Cambria" w:hAnsi="Cambria"/>
          <w:sz w:val="24"/>
          <w:szCs w:val="24"/>
        </w:rPr>
        <w:t xml:space="preserve">de l’électricité </w:t>
      </w:r>
      <w:r w:rsidR="003936FD" w:rsidRPr="0008466D">
        <w:rPr>
          <w:rFonts w:ascii="Cambria" w:hAnsi="Cambria"/>
          <w:sz w:val="24"/>
          <w:szCs w:val="24"/>
        </w:rPr>
        <w:t xml:space="preserve">ne touche pas seulement les populations déjà fortement </w:t>
      </w:r>
      <w:r w:rsidR="00215B9A" w:rsidRPr="0008466D">
        <w:rPr>
          <w:rFonts w:ascii="Cambria" w:hAnsi="Cambria"/>
          <w:sz w:val="24"/>
          <w:szCs w:val="24"/>
        </w:rPr>
        <w:t>paupérisées</w:t>
      </w:r>
      <w:r w:rsidR="003936FD" w:rsidRPr="0008466D">
        <w:rPr>
          <w:rFonts w:ascii="Cambria" w:hAnsi="Cambria"/>
          <w:sz w:val="24"/>
          <w:szCs w:val="24"/>
        </w:rPr>
        <w:t xml:space="preserve"> par la gestion laxiste et on ne peut plus in</w:t>
      </w:r>
      <w:r w:rsidR="005367B8">
        <w:rPr>
          <w:rFonts w:ascii="Cambria" w:hAnsi="Cambria"/>
          <w:sz w:val="24"/>
          <w:szCs w:val="24"/>
        </w:rPr>
        <w:t>formelle des ressources du pays.</w:t>
      </w:r>
      <w:r w:rsidR="003936FD" w:rsidRPr="0008466D">
        <w:rPr>
          <w:rFonts w:ascii="Cambria" w:hAnsi="Cambria"/>
          <w:sz w:val="24"/>
          <w:szCs w:val="24"/>
        </w:rPr>
        <w:t xml:space="preserve"> </w:t>
      </w:r>
      <w:r w:rsidR="005367B8">
        <w:rPr>
          <w:rFonts w:ascii="Cambria" w:hAnsi="Cambria"/>
          <w:sz w:val="24"/>
          <w:szCs w:val="24"/>
        </w:rPr>
        <w:t>L</w:t>
      </w:r>
      <w:r w:rsidR="003936FD" w:rsidRPr="0008466D">
        <w:rPr>
          <w:rFonts w:ascii="Cambria" w:hAnsi="Cambria"/>
          <w:sz w:val="24"/>
          <w:szCs w:val="24"/>
        </w:rPr>
        <w:t xml:space="preserve">e </w:t>
      </w:r>
      <w:r w:rsidR="00201A6A" w:rsidRPr="0008466D">
        <w:rPr>
          <w:rFonts w:ascii="Cambria" w:hAnsi="Cambria"/>
          <w:sz w:val="24"/>
          <w:szCs w:val="24"/>
        </w:rPr>
        <w:t>coût</w:t>
      </w:r>
      <w:r w:rsidR="003936FD" w:rsidRPr="0008466D">
        <w:rPr>
          <w:rFonts w:ascii="Cambria" w:hAnsi="Cambria"/>
          <w:sz w:val="24"/>
          <w:szCs w:val="24"/>
        </w:rPr>
        <w:t xml:space="preserve"> des </w:t>
      </w:r>
      <w:r w:rsidR="00215B9A" w:rsidRPr="0008466D">
        <w:rPr>
          <w:rFonts w:ascii="Cambria" w:hAnsi="Cambria"/>
          <w:sz w:val="24"/>
          <w:szCs w:val="24"/>
        </w:rPr>
        <w:t>délestages</w:t>
      </w:r>
      <w:r w:rsidR="003936FD" w:rsidRPr="0008466D">
        <w:rPr>
          <w:rFonts w:ascii="Cambria" w:hAnsi="Cambria"/>
          <w:sz w:val="24"/>
          <w:szCs w:val="24"/>
        </w:rPr>
        <w:t xml:space="preserve"> et autres coupures d’</w:t>
      </w:r>
      <w:r w:rsidR="00A26DB1" w:rsidRPr="0008466D">
        <w:rPr>
          <w:rFonts w:ascii="Cambria" w:hAnsi="Cambria"/>
          <w:sz w:val="24"/>
          <w:szCs w:val="24"/>
        </w:rPr>
        <w:t>électricité</w:t>
      </w:r>
      <w:r w:rsidR="003936FD" w:rsidRPr="0008466D">
        <w:rPr>
          <w:rFonts w:ascii="Cambria" w:hAnsi="Cambria"/>
          <w:sz w:val="24"/>
          <w:szCs w:val="24"/>
        </w:rPr>
        <w:t xml:space="preserve"> pour les entreprises qui </w:t>
      </w:r>
      <w:r w:rsidR="00A26DB1" w:rsidRPr="0008466D">
        <w:rPr>
          <w:rFonts w:ascii="Cambria" w:hAnsi="Cambria"/>
          <w:sz w:val="24"/>
          <w:szCs w:val="24"/>
        </w:rPr>
        <w:t>opèrent</w:t>
      </w:r>
      <w:r w:rsidR="003936FD" w:rsidRPr="0008466D">
        <w:rPr>
          <w:rFonts w:ascii="Cambria" w:hAnsi="Cambria"/>
          <w:sz w:val="24"/>
          <w:szCs w:val="24"/>
        </w:rPr>
        <w:t xml:space="preserve"> au </w:t>
      </w:r>
      <w:r w:rsidR="00A26DB1" w:rsidRPr="0008466D">
        <w:rPr>
          <w:rFonts w:ascii="Cambria" w:hAnsi="Cambria"/>
          <w:sz w:val="24"/>
          <w:szCs w:val="24"/>
        </w:rPr>
        <w:t>Sénégal</w:t>
      </w:r>
      <w:r w:rsidR="003936FD" w:rsidRPr="0008466D">
        <w:rPr>
          <w:rFonts w:ascii="Cambria" w:hAnsi="Cambria"/>
          <w:sz w:val="24"/>
          <w:szCs w:val="24"/>
        </w:rPr>
        <w:t xml:space="preserve"> ne saurait </w:t>
      </w:r>
      <w:r w:rsidR="00215B9A" w:rsidRPr="0008466D">
        <w:rPr>
          <w:rFonts w:ascii="Cambria" w:hAnsi="Cambria"/>
          <w:sz w:val="24"/>
          <w:szCs w:val="24"/>
        </w:rPr>
        <w:t>être</w:t>
      </w:r>
      <w:r w:rsidR="003936FD" w:rsidRPr="0008466D">
        <w:rPr>
          <w:rFonts w:ascii="Cambria" w:hAnsi="Cambria"/>
          <w:sz w:val="24"/>
          <w:szCs w:val="24"/>
        </w:rPr>
        <w:t xml:space="preserve"> </w:t>
      </w:r>
      <w:r w:rsidR="00201A6A" w:rsidRPr="0008466D">
        <w:rPr>
          <w:rFonts w:ascii="Cambria" w:hAnsi="Cambria"/>
          <w:sz w:val="24"/>
          <w:szCs w:val="24"/>
        </w:rPr>
        <w:t>sous-estimé</w:t>
      </w:r>
      <w:r w:rsidR="003936FD" w:rsidRPr="0008466D">
        <w:rPr>
          <w:rFonts w:ascii="Cambria" w:hAnsi="Cambria"/>
          <w:sz w:val="24"/>
          <w:szCs w:val="24"/>
        </w:rPr>
        <w:t xml:space="preserve">. Des estimations de la Banque Mondiale font </w:t>
      </w:r>
      <w:r w:rsidR="00215B9A" w:rsidRPr="0008466D">
        <w:rPr>
          <w:rFonts w:ascii="Cambria" w:hAnsi="Cambria"/>
          <w:sz w:val="24"/>
          <w:szCs w:val="24"/>
        </w:rPr>
        <w:t>état</w:t>
      </w:r>
      <w:r w:rsidR="00E10DD7">
        <w:rPr>
          <w:rFonts w:ascii="Cambria" w:hAnsi="Cambria"/>
          <w:sz w:val="24"/>
          <w:szCs w:val="24"/>
        </w:rPr>
        <w:t xml:space="preserve"> d’une perte nette de 1.4% de</w:t>
      </w:r>
      <w:r w:rsidR="003936FD" w:rsidRPr="0008466D">
        <w:rPr>
          <w:rFonts w:ascii="Cambria" w:hAnsi="Cambria"/>
          <w:sz w:val="24"/>
          <w:szCs w:val="24"/>
        </w:rPr>
        <w:t xml:space="preserve"> taux de croissance </w:t>
      </w:r>
      <w:r w:rsidR="00215B9A" w:rsidRPr="0008466D">
        <w:rPr>
          <w:rFonts w:ascii="Cambria" w:hAnsi="Cambria"/>
          <w:sz w:val="24"/>
          <w:szCs w:val="24"/>
        </w:rPr>
        <w:t>économique</w:t>
      </w:r>
      <w:r w:rsidR="003936FD" w:rsidRPr="0008466D">
        <w:rPr>
          <w:rFonts w:ascii="Cambria" w:hAnsi="Cambria"/>
          <w:sz w:val="24"/>
          <w:szCs w:val="24"/>
        </w:rPr>
        <w:t>. Quand on sait que le pays n’enre</w:t>
      </w:r>
      <w:r w:rsidR="00215B9A" w:rsidRPr="0008466D">
        <w:rPr>
          <w:rFonts w:ascii="Cambria" w:hAnsi="Cambria"/>
          <w:sz w:val="24"/>
          <w:szCs w:val="24"/>
        </w:rPr>
        <w:t xml:space="preserve">gistre qu’entre 3 et 4% de </w:t>
      </w:r>
      <w:r w:rsidR="00215B9A" w:rsidRPr="0008466D">
        <w:rPr>
          <w:rFonts w:ascii="Cambria" w:hAnsi="Cambria"/>
          <w:sz w:val="24"/>
          <w:szCs w:val="24"/>
        </w:rPr>
        <w:lastRenderedPageBreak/>
        <w:t>croi</w:t>
      </w:r>
      <w:r w:rsidR="003936FD" w:rsidRPr="0008466D">
        <w:rPr>
          <w:rFonts w:ascii="Cambria" w:hAnsi="Cambria"/>
          <w:sz w:val="24"/>
          <w:szCs w:val="24"/>
        </w:rPr>
        <w:t>ssance, ce</w:t>
      </w:r>
      <w:r w:rsidR="00147F31" w:rsidRPr="0008466D">
        <w:rPr>
          <w:rFonts w:ascii="Cambria" w:hAnsi="Cambria"/>
          <w:sz w:val="24"/>
          <w:szCs w:val="24"/>
        </w:rPr>
        <w:t xml:space="preserve">tte perte </w:t>
      </w:r>
      <w:r w:rsidR="00215B9A" w:rsidRPr="0008466D">
        <w:rPr>
          <w:rFonts w:ascii="Cambria" w:hAnsi="Cambria"/>
          <w:sz w:val="24"/>
          <w:szCs w:val="24"/>
        </w:rPr>
        <w:t>représente</w:t>
      </w:r>
      <w:r w:rsidR="00E10DD7">
        <w:rPr>
          <w:rFonts w:ascii="Cambria" w:hAnsi="Cambria"/>
          <w:sz w:val="24"/>
          <w:szCs w:val="24"/>
        </w:rPr>
        <w:t xml:space="preserve"> un coût</w:t>
      </w:r>
      <w:r w:rsidR="003936FD" w:rsidRPr="0008466D">
        <w:rPr>
          <w:rFonts w:ascii="Cambria" w:hAnsi="Cambria"/>
          <w:sz w:val="24"/>
          <w:szCs w:val="24"/>
        </w:rPr>
        <w:t xml:space="preserve"> exorbitant </w:t>
      </w:r>
      <w:r w:rsidR="00147F31" w:rsidRPr="0008466D">
        <w:rPr>
          <w:rFonts w:ascii="Cambria" w:hAnsi="Cambria"/>
          <w:sz w:val="24"/>
          <w:szCs w:val="24"/>
        </w:rPr>
        <w:t>pour l’</w:t>
      </w:r>
      <w:r w:rsidR="00215B9A" w:rsidRPr="0008466D">
        <w:rPr>
          <w:rFonts w:ascii="Cambria" w:hAnsi="Cambria"/>
          <w:sz w:val="24"/>
          <w:szCs w:val="24"/>
        </w:rPr>
        <w:t>économie</w:t>
      </w:r>
      <w:r w:rsidR="00147F31" w:rsidRPr="0008466D">
        <w:rPr>
          <w:rFonts w:ascii="Cambria" w:hAnsi="Cambria"/>
          <w:sz w:val="24"/>
          <w:szCs w:val="24"/>
        </w:rPr>
        <w:t xml:space="preserve"> et </w:t>
      </w:r>
      <w:r w:rsidR="003936FD" w:rsidRPr="0008466D">
        <w:rPr>
          <w:rFonts w:ascii="Cambria" w:hAnsi="Cambria"/>
          <w:sz w:val="24"/>
          <w:szCs w:val="24"/>
        </w:rPr>
        <w:t xml:space="preserve">ne peut que </w:t>
      </w:r>
      <w:r w:rsidR="00215B9A" w:rsidRPr="0008466D">
        <w:rPr>
          <w:rFonts w:ascii="Cambria" w:hAnsi="Cambria"/>
          <w:sz w:val="24"/>
          <w:szCs w:val="24"/>
        </w:rPr>
        <w:t>décourager</w:t>
      </w:r>
      <w:r w:rsidR="003936FD" w:rsidRPr="0008466D">
        <w:rPr>
          <w:rFonts w:ascii="Cambria" w:hAnsi="Cambria"/>
          <w:sz w:val="24"/>
          <w:szCs w:val="24"/>
        </w:rPr>
        <w:t xml:space="preserve"> de potentiels investisseurs</w:t>
      </w:r>
      <w:r w:rsidR="00E10DD7">
        <w:rPr>
          <w:rFonts w:ascii="Cambria" w:hAnsi="Cambria"/>
          <w:sz w:val="24"/>
          <w:szCs w:val="24"/>
        </w:rPr>
        <w:t xml:space="preserve">. </w:t>
      </w:r>
      <w:r w:rsidR="003936FD" w:rsidRPr="0008466D">
        <w:rPr>
          <w:rFonts w:ascii="Cambria" w:hAnsi="Cambria"/>
          <w:sz w:val="24"/>
          <w:szCs w:val="24"/>
        </w:rPr>
        <w:t xml:space="preserve"> </w:t>
      </w:r>
      <w:r w:rsidR="00E10DD7">
        <w:rPr>
          <w:rFonts w:ascii="Cambria" w:hAnsi="Cambria"/>
          <w:sz w:val="24"/>
          <w:szCs w:val="24"/>
        </w:rPr>
        <w:t>Ce phénomène serait également de nature à</w:t>
      </w:r>
      <w:r w:rsidR="003936FD" w:rsidRPr="0008466D">
        <w:rPr>
          <w:rFonts w:ascii="Cambria" w:hAnsi="Cambria"/>
          <w:sz w:val="24"/>
          <w:szCs w:val="24"/>
        </w:rPr>
        <w:t xml:space="preserve"> pousser les entreprises existantes </w:t>
      </w:r>
      <w:r w:rsidR="007E7F94" w:rsidRPr="0008466D">
        <w:rPr>
          <w:rFonts w:ascii="Cambria" w:hAnsi="Cambria"/>
          <w:sz w:val="24"/>
          <w:szCs w:val="24"/>
        </w:rPr>
        <w:t>à</w:t>
      </w:r>
      <w:r w:rsidR="003936FD" w:rsidRPr="0008466D">
        <w:rPr>
          <w:rFonts w:ascii="Cambria" w:hAnsi="Cambria"/>
          <w:sz w:val="24"/>
          <w:szCs w:val="24"/>
        </w:rPr>
        <w:t xml:space="preserve"> mettre la </w:t>
      </w:r>
      <w:r w:rsidR="00215B9A" w:rsidRPr="0008466D">
        <w:rPr>
          <w:rFonts w:ascii="Cambria" w:hAnsi="Cambria"/>
          <w:sz w:val="24"/>
          <w:szCs w:val="24"/>
        </w:rPr>
        <w:t>clé</w:t>
      </w:r>
      <w:r w:rsidR="003936FD" w:rsidRPr="0008466D">
        <w:rPr>
          <w:rFonts w:ascii="Cambria" w:hAnsi="Cambria"/>
          <w:sz w:val="24"/>
          <w:szCs w:val="24"/>
        </w:rPr>
        <w:t xml:space="preserve"> sous le paillasson avec les </w:t>
      </w:r>
      <w:r w:rsidR="00215B9A" w:rsidRPr="0008466D">
        <w:rPr>
          <w:rFonts w:ascii="Cambria" w:hAnsi="Cambria"/>
          <w:sz w:val="24"/>
          <w:szCs w:val="24"/>
        </w:rPr>
        <w:t>conséquences</w:t>
      </w:r>
      <w:r w:rsidR="003936FD" w:rsidRPr="0008466D">
        <w:rPr>
          <w:rFonts w:ascii="Cambria" w:hAnsi="Cambria"/>
          <w:sz w:val="24"/>
          <w:szCs w:val="24"/>
        </w:rPr>
        <w:t xml:space="preserve"> sociales </w:t>
      </w:r>
      <w:r w:rsidR="00215B9A" w:rsidRPr="0008466D">
        <w:rPr>
          <w:rFonts w:ascii="Cambria" w:hAnsi="Cambria"/>
          <w:sz w:val="24"/>
          <w:szCs w:val="24"/>
        </w:rPr>
        <w:t>désastreuses</w:t>
      </w:r>
      <w:r w:rsidR="003936FD" w:rsidRPr="0008466D">
        <w:rPr>
          <w:rFonts w:ascii="Cambria" w:hAnsi="Cambria"/>
          <w:sz w:val="24"/>
          <w:szCs w:val="24"/>
        </w:rPr>
        <w:t xml:space="preserve"> </w:t>
      </w:r>
      <w:r w:rsidR="00515DD3">
        <w:rPr>
          <w:rFonts w:ascii="Cambria" w:hAnsi="Cambria"/>
          <w:sz w:val="24"/>
          <w:szCs w:val="24"/>
        </w:rPr>
        <w:t>pour d</w:t>
      </w:r>
      <w:r w:rsidR="003936FD" w:rsidRPr="0008466D">
        <w:rPr>
          <w:rFonts w:ascii="Cambria" w:hAnsi="Cambria"/>
          <w:sz w:val="24"/>
          <w:szCs w:val="24"/>
        </w:rPr>
        <w:t>es travailleurs qui ne misent que sur cette seule source de revenu pour n</w:t>
      </w:r>
      <w:r w:rsidR="00147F31" w:rsidRPr="0008466D">
        <w:rPr>
          <w:rFonts w:ascii="Cambria" w:hAnsi="Cambria"/>
          <w:sz w:val="24"/>
          <w:szCs w:val="24"/>
        </w:rPr>
        <w:t>ourrir leurs familles</w:t>
      </w:r>
      <w:r w:rsidR="003936FD" w:rsidRPr="0008466D">
        <w:rPr>
          <w:rFonts w:ascii="Cambria" w:hAnsi="Cambria"/>
          <w:sz w:val="24"/>
          <w:szCs w:val="24"/>
        </w:rPr>
        <w:t>.</w:t>
      </w:r>
    </w:p>
    <w:p w:rsidR="003D65EA" w:rsidRPr="0008466D" w:rsidRDefault="003D65EA" w:rsidP="00674C9C">
      <w:pPr>
        <w:pStyle w:val="ListParagraph"/>
        <w:ind w:left="0"/>
        <w:jc w:val="both"/>
        <w:rPr>
          <w:rFonts w:ascii="Cambria" w:hAnsi="Cambria"/>
          <w:sz w:val="24"/>
          <w:szCs w:val="24"/>
        </w:rPr>
      </w:pPr>
    </w:p>
    <w:p w:rsidR="002138F7" w:rsidRPr="0008466D" w:rsidRDefault="002138F7" w:rsidP="00C45845">
      <w:pPr>
        <w:pStyle w:val="ListParagraph"/>
        <w:numPr>
          <w:ilvl w:val="0"/>
          <w:numId w:val="2"/>
        </w:numPr>
        <w:jc w:val="both"/>
        <w:rPr>
          <w:rFonts w:ascii="Cambria" w:hAnsi="Cambria"/>
          <w:b/>
          <w:sz w:val="24"/>
          <w:szCs w:val="24"/>
        </w:rPr>
      </w:pPr>
      <w:r w:rsidRPr="0008466D">
        <w:rPr>
          <w:rFonts w:ascii="Cambria" w:hAnsi="Cambria"/>
          <w:b/>
          <w:sz w:val="24"/>
          <w:szCs w:val="24"/>
        </w:rPr>
        <w:t xml:space="preserve">L’environnement des affaires s’est-il </w:t>
      </w:r>
      <w:r w:rsidR="00215B9A" w:rsidRPr="0008466D">
        <w:rPr>
          <w:rFonts w:ascii="Cambria" w:hAnsi="Cambria"/>
          <w:b/>
          <w:sz w:val="24"/>
          <w:szCs w:val="24"/>
        </w:rPr>
        <w:t>amélioré</w:t>
      </w:r>
      <w:r w:rsidRPr="0008466D">
        <w:rPr>
          <w:rFonts w:ascii="Cambria" w:hAnsi="Cambria"/>
          <w:b/>
          <w:sz w:val="24"/>
          <w:szCs w:val="24"/>
        </w:rPr>
        <w:t xml:space="preserve"> au cours des 10 </w:t>
      </w:r>
      <w:r w:rsidR="00215B9A" w:rsidRPr="0008466D">
        <w:rPr>
          <w:rFonts w:ascii="Cambria" w:hAnsi="Cambria"/>
          <w:b/>
          <w:sz w:val="24"/>
          <w:szCs w:val="24"/>
        </w:rPr>
        <w:t>dernières</w:t>
      </w:r>
      <w:r w:rsidRPr="0008466D">
        <w:rPr>
          <w:rFonts w:ascii="Cambria" w:hAnsi="Cambria"/>
          <w:b/>
          <w:sz w:val="24"/>
          <w:szCs w:val="24"/>
        </w:rPr>
        <w:t xml:space="preserve"> </w:t>
      </w:r>
      <w:r w:rsidR="00215B9A" w:rsidRPr="0008466D">
        <w:rPr>
          <w:rFonts w:ascii="Cambria" w:hAnsi="Cambria"/>
          <w:b/>
          <w:sz w:val="24"/>
          <w:szCs w:val="24"/>
        </w:rPr>
        <w:t>années</w:t>
      </w:r>
      <w:r w:rsidRPr="0008466D">
        <w:rPr>
          <w:rFonts w:ascii="Cambria" w:hAnsi="Cambria"/>
          <w:b/>
          <w:sz w:val="24"/>
          <w:szCs w:val="24"/>
        </w:rPr>
        <w:t>?</w:t>
      </w:r>
    </w:p>
    <w:p w:rsidR="00D633FB" w:rsidRDefault="00D633FB" w:rsidP="00674C9C">
      <w:pPr>
        <w:pStyle w:val="ListParagraph"/>
        <w:ind w:left="0"/>
        <w:jc w:val="both"/>
        <w:rPr>
          <w:rFonts w:ascii="Cambria" w:hAnsi="Cambria"/>
          <w:sz w:val="24"/>
          <w:szCs w:val="24"/>
        </w:rPr>
      </w:pPr>
    </w:p>
    <w:p w:rsidR="00A40F8F" w:rsidRDefault="00A40F8F" w:rsidP="00674C9C">
      <w:pPr>
        <w:pStyle w:val="ListParagraph"/>
        <w:ind w:left="0"/>
        <w:jc w:val="both"/>
        <w:rPr>
          <w:rFonts w:ascii="Cambria" w:hAnsi="Cambria"/>
          <w:sz w:val="24"/>
          <w:szCs w:val="24"/>
        </w:rPr>
      </w:pPr>
      <w:r w:rsidRPr="0008466D">
        <w:rPr>
          <w:rFonts w:ascii="Cambria" w:hAnsi="Cambria"/>
          <w:sz w:val="24"/>
          <w:szCs w:val="24"/>
        </w:rPr>
        <w:t xml:space="preserve">En 2011, le rapport de la Banque Mondiale sur </w:t>
      </w:r>
      <w:r w:rsidR="00B23534" w:rsidRPr="0008466D">
        <w:rPr>
          <w:rFonts w:ascii="Cambria" w:hAnsi="Cambria"/>
          <w:sz w:val="24"/>
          <w:szCs w:val="24"/>
        </w:rPr>
        <w:t>‘</w:t>
      </w:r>
      <w:proofErr w:type="spellStart"/>
      <w:r w:rsidR="00B23534" w:rsidRPr="0008466D">
        <w:rPr>
          <w:rFonts w:ascii="Cambria" w:hAnsi="Cambria"/>
          <w:sz w:val="24"/>
          <w:szCs w:val="24"/>
        </w:rPr>
        <w:t>Doing</w:t>
      </w:r>
      <w:proofErr w:type="spellEnd"/>
      <w:r w:rsidR="00B23534" w:rsidRPr="0008466D">
        <w:rPr>
          <w:rFonts w:ascii="Cambria" w:hAnsi="Cambria"/>
          <w:sz w:val="24"/>
          <w:szCs w:val="24"/>
        </w:rPr>
        <w:t xml:space="preserve"> Business</w:t>
      </w:r>
      <w:r w:rsidR="000F58CB">
        <w:rPr>
          <w:rFonts w:ascii="Cambria" w:hAnsi="Cambria"/>
          <w:sz w:val="24"/>
          <w:szCs w:val="24"/>
        </w:rPr>
        <w:t>’</w:t>
      </w:r>
      <w:r w:rsidR="00B23534" w:rsidRPr="0008466D">
        <w:rPr>
          <w:rFonts w:ascii="Cambria" w:hAnsi="Cambria"/>
          <w:sz w:val="24"/>
          <w:szCs w:val="24"/>
        </w:rPr>
        <w:t xml:space="preserve"> classe le </w:t>
      </w:r>
      <w:r w:rsidR="0008466D" w:rsidRPr="0008466D">
        <w:rPr>
          <w:rFonts w:ascii="Cambria" w:hAnsi="Cambria"/>
          <w:sz w:val="24"/>
          <w:szCs w:val="24"/>
        </w:rPr>
        <w:t>Sénégal</w:t>
      </w:r>
      <w:r w:rsidR="00B23534" w:rsidRPr="0008466D">
        <w:rPr>
          <w:rFonts w:ascii="Cambria" w:hAnsi="Cambria"/>
          <w:sz w:val="24"/>
          <w:szCs w:val="24"/>
        </w:rPr>
        <w:t xml:space="preserve"> au 152</w:t>
      </w:r>
      <w:r w:rsidR="00B23534" w:rsidRPr="0008466D">
        <w:rPr>
          <w:rFonts w:ascii="Cambria" w:hAnsi="Cambria"/>
          <w:sz w:val="24"/>
          <w:szCs w:val="24"/>
          <w:vertAlign w:val="superscript"/>
        </w:rPr>
        <w:t>e</w:t>
      </w:r>
      <w:r w:rsidR="00B23534" w:rsidRPr="0008466D">
        <w:rPr>
          <w:rFonts w:ascii="Cambria" w:hAnsi="Cambria"/>
          <w:sz w:val="24"/>
          <w:szCs w:val="24"/>
        </w:rPr>
        <w:t xml:space="preserve"> rang  sur 183 pays en mati</w:t>
      </w:r>
      <w:r w:rsidR="007E7F94" w:rsidRPr="0008466D">
        <w:rPr>
          <w:rFonts w:ascii="Cambria" w:hAnsi="Cambria"/>
          <w:sz w:val="24"/>
          <w:szCs w:val="24"/>
        </w:rPr>
        <w:t>è</w:t>
      </w:r>
      <w:r w:rsidR="00B23534" w:rsidRPr="0008466D">
        <w:rPr>
          <w:rFonts w:ascii="Cambria" w:hAnsi="Cambria"/>
          <w:sz w:val="24"/>
          <w:szCs w:val="24"/>
        </w:rPr>
        <w:t xml:space="preserve">re de </w:t>
      </w:r>
      <w:r w:rsidR="0008466D" w:rsidRPr="0008466D">
        <w:rPr>
          <w:rFonts w:ascii="Cambria" w:hAnsi="Cambria"/>
          <w:sz w:val="24"/>
          <w:szCs w:val="24"/>
        </w:rPr>
        <w:t>création</w:t>
      </w:r>
      <w:r w:rsidR="00B23534" w:rsidRPr="0008466D">
        <w:rPr>
          <w:rFonts w:ascii="Cambria" w:hAnsi="Cambria"/>
          <w:sz w:val="24"/>
          <w:szCs w:val="24"/>
        </w:rPr>
        <w:t xml:space="preserve"> d’affaires pour les operateurs </w:t>
      </w:r>
      <w:r w:rsidR="0008466D" w:rsidRPr="0008466D">
        <w:rPr>
          <w:rFonts w:ascii="Cambria" w:hAnsi="Cambria"/>
          <w:sz w:val="24"/>
          <w:szCs w:val="24"/>
        </w:rPr>
        <w:t>économiques</w:t>
      </w:r>
      <w:r w:rsidR="005367B8">
        <w:rPr>
          <w:rFonts w:ascii="Cambria" w:hAnsi="Cambria"/>
          <w:sz w:val="24"/>
          <w:szCs w:val="24"/>
        </w:rPr>
        <w:t xml:space="preserve"> et de promotion d’un environnement propice aux investissements et aux affaires</w:t>
      </w:r>
      <w:r w:rsidR="00B23534" w:rsidRPr="0008466D">
        <w:rPr>
          <w:rFonts w:ascii="Cambria" w:hAnsi="Cambria"/>
          <w:sz w:val="24"/>
          <w:szCs w:val="24"/>
        </w:rPr>
        <w:t>. Les nombreuses pratiques de corruptions, pots de vin et autre</w:t>
      </w:r>
      <w:r w:rsidR="005367B8">
        <w:rPr>
          <w:rFonts w:ascii="Cambria" w:hAnsi="Cambria"/>
          <w:sz w:val="24"/>
          <w:szCs w:val="24"/>
        </w:rPr>
        <w:t>s</w:t>
      </w:r>
      <w:r w:rsidR="00B23534" w:rsidRPr="0008466D">
        <w:rPr>
          <w:rFonts w:ascii="Cambria" w:hAnsi="Cambria"/>
          <w:sz w:val="24"/>
          <w:szCs w:val="24"/>
        </w:rPr>
        <w:t xml:space="preserve"> manque</w:t>
      </w:r>
      <w:r w:rsidR="005367B8">
        <w:rPr>
          <w:rFonts w:ascii="Cambria" w:hAnsi="Cambria"/>
          <w:sz w:val="24"/>
          <w:szCs w:val="24"/>
        </w:rPr>
        <w:t>s</w:t>
      </w:r>
      <w:r w:rsidR="00B23534" w:rsidRPr="0008466D">
        <w:rPr>
          <w:rFonts w:ascii="Cambria" w:hAnsi="Cambria"/>
          <w:sz w:val="24"/>
          <w:szCs w:val="24"/>
        </w:rPr>
        <w:t xml:space="preserve"> de transparence dans la passation des </w:t>
      </w:r>
      <w:r w:rsidR="000F58CB" w:rsidRPr="0008466D">
        <w:rPr>
          <w:rFonts w:ascii="Cambria" w:hAnsi="Cambria"/>
          <w:sz w:val="24"/>
          <w:szCs w:val="24"/>
        </w:rPr>
        <w:t>marchés</w:t>
      </w:r>
      <w:r w:rsidR="00B23534" w:rsidRPr="0008466D">
        <w:rPr>
          <w:rFonts w:ascii="Cambria" w:hAnsi="Cambria"/>
          <w:sz w:val="24"/>
          <w:szCs w:val="24"/>
        </w:rPr>
        <w:t xml:space="preserve"> inspirent peu de confiance aux operateurs </w:t>
      </w:r>
      <w:r w:rsidR="0008466D" w:rsidRPr="0008466D">
        <w:rPr>
          <w:rFonts w:ascii="Cambria" w:hAnsi="Cambria"/>
          <w:sz w:val="24"/>
          <w:szCs w:val="24"/>
        </w:rPr>
        <w:t>économiques</w:t>
      </w:r>
      <w:r w:rsidR="00B23534" w:rsidRPr="0008466D">
        <w:rPr>
          <w:rFonts w:ascii="Cambria" w:hAnsi="Cambria"/>
          <w:sz w:val="24"/>
          <w:szCs w:val="24"/>
        </w:rPr>
        <w:t xml:space="preserve"> qui chercheraient </w:t>
      </w:r>
      <w:r w:rsidR="0008466D" w:rsidRPr="0008466D">
        <w:rPr>
          <w:rFonts w:ascii="Cambria" w:hAnsi="Cambria"/>
          <w:sz w:val="24"/>
          <w:szCs w:val="24"/>
        </w:rPr>
        <w:t>à</w:t>
      </w:r>
      <w:r w:rsidR="00B23534" w:rsidRPr="0008466D">
        <w:rPr>
          <w:rFonts w:ascii="Cambria" w:hAnsi="Cambria"/>
          <w:sz w:val="24"/>
          <w:szCs w:val="24"/>
        </w:rPr>
        <w:t xml:space="preserve"> investir</w:t>
      </w:r>
      <w:r w:rsidR="000F58CB">
        <w:rPr>
          <w:rFonts w:ascii="Cambria" w:hAnsi="Cambria"/>
          <w:sz w:val="24"/>
          <w:szCs w:val="24"/>
        </w:rPr>
        <w:t xml:space="preserve"> au Sénégal</w:t>
      </w:r>
      <w:r w:rsidR="00B23534" w:rsidRPr="0008466D">
        <w:rPr>
          <w:rFonts w:ascii="Cambria" w:hAnsi="Cambria"/>
          <w:sz w:val="24"/>
          <w:szCs w:val="24"/>
        </w:rPr>
        <w:t>. Il s’</w:t>
      </w:r>
      <w:r w:rsidR="000F58CB">
        <w:rPr>
          <w:rFonts w:ascii="Cambria" w:hAnsi="Cambria"/>
          <w:sz w:val="24"/>
          <w:szCs w:val="24"/>
        </w:rPr>
        <w:t xml:space="preserve">y </w:t>
      </w:r>
      <w:r w:rsidR="00B23534" w:rsidRPr="0008466D">
        <w:rPr>
          <w:rFonts w:ascii="Cambria" w:hAnsi="Cambria"/>
          <w:sz w:val="24"/>
          <w:szCs w:val="24"/>
        </w:rPr>
        <w:t>ajoute l’</w:t>
      </w:r>
      <w:r w:rsidR="0008466D" w:rsidRPr="0008466D">
        <w:rPr>
          <w:rFonts w:ascii="Cambria" w:hAnsi="Cambria"/>
          <w:sz w:val="24"/>
          <w:szCs w:val="24"/>
        </w:rPr>
        <w:t>instabilité</w:t>
      </w:r>
      <w:r w:rsidR="00B23534" w:rsidRPr="0008466D">
        <w:rPr>
          <w:rFonts w:ascii="Cambria" w:hAnsi="Cambria"/>
          <w:sz w:val="24"/>
          <w:szCs w:val="24"/>
        </w:rPr>
        <w:t xml:space="preserve"> sociale </w:t>
      </w:r>
      <w:r w:rsidR="0008466D" w:rsidRPr="0008466D">
        <w:rPr>
          <w:rFonts w:ascii="Cambria" w:hAnsi="Cambria"/>
          <w:sz w:val="24"/>
          <w:szCs w:val="24"/>
        </w:rPr>
        <w:t>alimentée</w:t>
      </w:r>
      <w:r w:rsidR="00B23534" w:rsidRPr="0008466D">
        <w:rPr>
          <w:rFonts w:ascii="Cambria" w:hAnsi="Cambria"/>
          <w:sz w:val="24"/>
          <w:szCs w:val="24"/>
        </w:rPr>
        <w:t xml:space="preserve"> par un pilotage </w:t>
      </w:r>
      <w:r w:rsidR="007E7F94" w:rsidRPr="0008466D">
        <w:rPr>
          <w:rFonts w:ascii="Cambria" w:hAnsi="Cambria"/>
          <w:sz w:val="24"/>
          <w:szCs w:val="24"/>
        </w:rPr>
        <w:t>à vue et u</w:t>
      </w:r>
      <w:r w:rsidR="00B23534" w:rsidRPr="0008466D">
        <w:rPr>
          <w:rFonts w:ascii="Cambria" w:hAnsi="Cambria"/>
          <w:sz w:val="24"/>
          <w:szCs w:val="24"/>
        </w:rPr>
        <w:t>n</w:t>
      </w:r>
      <w:r w:rsidR="007E7F94" w:rsidRPr="0008466D">
        <w:rPr>
          <w:rFonts w:ascii="Cambria" w:hAnsi="Cambria"/>
          <w:sz w:val="24"/>
          <w:szCs w:val="24"/>
        </w:rPr>
        <w:t>e</w:t>
      </w:r>
      <w:r w:rsidR="00B23534" w:rsidRPr="0008466D">
        <w:rPr>
          <w:rFonts w:ascii="Cambria" w:hAnsi="Cambria"/>
          <w:sz w:val="24"/>
          <w:szCs w:val="24"/>
        </w:rPr>
        <w:t xml:space="preserve"> absence de </w:t>
      </w:r>
      <w:r w:rsidR="0008466D" w:rsidRPr="0008466D">
        <w:rPr>
          <w:rFonts w:ascii="Cambria" w:hAnsi="Cambria"/>
          <w:sz w:val="24"/>
          <w:szCs w:val="24"/>
        </w:rPr>
        <w:t>volonté</w:t>
      </w:r>
      <w:r w:rsidR="00B23534" w:rsidRPr="0008466D">
        <w:rPr>
          <w:rFonts w:ascii="Cambria" w:hAnsi="Cambria"/>
          <w:sz w:val="24"/>
          <w:szCs w:val="24"/>
        </w:rPr>
        <w:t xml:space="preserve"> politique de remettre le pays sur les rails d’une </w:t>
      </w:r>
      <w:r w:rsidR="0008466D" w:rsidRPr="0008466D">
        <w:rPr>
          <w:rFonts w:ascii="Cambria" w:hAnsi="Cambria"/>
          <w:sz w:val="24"/>
          <w:szCs w:val="24"/>
        </w:rPr>
        <w:t>véritable</w:t>
      </w:r>
      <w:r w:rsidR="0008466D">
        <w:rPr>
          <w:rFonts w:ascii="Cambria" w:hAnsi="Cambria"/>
          <w:sz w:val="24"/>
          <w:szCs w:val="24"/>
        </w:rPr>
        <w:t xml:space="preserve"> crois</w:t>
      </w:r>
      <w:r w:rsidR="00B23534" w:rsidRPr="0008466D">
        <w:rPr>
          <w:rFonts w:ascii="Cambria" w:hAnsi="Cambria"/>
          <w:sz w:val="24"/>
          <w:szCs w:val="24"/>
        </w:rPr>
        <w:t xml:space="preserve">sance </w:t>
      </w:r>
      <w:r w:rsidR="000F58CB" w:rsidRPr="000F58CB">
        <w:rPr>
          <w:rFonts w:ascii="Cambria" w:hAnsi="Cambria"/>
          <w:sz w:val="24"/>
          <w:szCs w:val="24"/>
        </w:rPr>
        <w:t>à</w:t>
      </w:r>
      <w:r w:rsidR="00B23534" w:rsidRPr="0008466D">
        <w:rPr>
          <w:rFonts w:ascii="Cambria" w:hAnsi="Cambria"/>
          <w:sz w:val="24"/>
          <w:szCs w:val="24"/>
        </w:rPr>
        <w:t xml:space="preserve"> deux chiffres</w:t>
      </w:r>
      <w:r w:rsidR="000F58CB">
        <w:rPr>
          <w:rFonts w:ascii="Cambria" w:hAnsi="Cambria"/>
          <w:sz w:val="24"/>
          <w:szCs w:val="24"/>
        </w:rPr>
        <w:t xml:space="preserve"> qui profiterait </w:t>
      </w:r>
      <w:r w:rsidR="000F58CB" w:rsidRPr="000F58CB">
        <w:rPr>
          <w:rFonts w:ascii="Cambria" w:hAnsi="Cambria"/>
          <w:sz w:val="24"/>
          <w:szCs w:val="24"/>
        </w:rPr>
        <w:t>à</w:t>
      </w:r>
      <w:r w:rsidR="000F58CB">
        <w:rPr>
          <w:rFonts w:ascii="Cambria" w:hAnsi="Cambria"/>
          <w:sz w:val="24"/>
          <w:szCs w:val="24"/>
        </w:rPr>
        <w:t xml:space="preserve"> la majorité des sénégalais</w:t>
      </w:r>
      <w:r w:rsidR="00B23534" w:rsidRPr="0008466D">
        <w:rPr>
          <w:rFonts w:ascii="Cambria" w:hAnsi="Cambria"/>
          <w:sz w:val="24"/>
          <w:szCs w:val="24"/>
        </w:rPr>
        <w:t xml:space="preserve">. Le </w:t>
      </w:r>
      <w:r w:rsidR="0008466D" w:rsidRPr="0008466D">
        <w:rPr>
          <w:rFonts w:ascii="Cambria" w:hAnsi="Cambria"/>
          <w:sz w:val="24"/>
          <w:szCs w:val="24"/>
        </w:rPr>
        <w:t>Sénégal</w:t>
      </w:r>
      <w:r w:rsidR="00B23534" w:rsidRPr="0008466D">
        <w:rPr>
          <w:rFonts w:ascii="Cambria" w:hAnsi="Cambria"/>
          <w:sz w:val="24"/>
          <w:szCs w:val="24"/>
        </w:rPr>
        <w:t xml:space="preserve"> est </w:t>
      </w:r>
      <w:r w:rsidR="00E2358A" w:rsidRPr="0008466D">
        <w:rPr>
          <w:rFonts w:ascii="Cambria" w:hAnsi="Cambria"/>
          <w:sz w:val="24"/>
          <w:szCs w:val="24"/>
        </w:rPr>
        <w:t xml:space="preserve">ainsi </w:t>
      </w:r>
      <w:r w:rsidR="0008466D">
        <w:rPr>
          <w:rFonts w:ascii="Cambria" w:hAnsi="Cambria"/>
          <w:sz w:val="24"/>
          <w:szCs w:val="24"/>
        </w:rPr>
        <w:t>tombé</w:t>
      </w:r>
      <w:r w:rsidR="00B23534" w:rsidRPr="0008466D">
        <w:rPr>
          <w:rFonts w:ascii="Cambria" w:hAnsi="Cambria"/>
          <w:sz w:val="24"/>
          <w:szCs w:val="24"/>
        </w:rPr>
        <w:t xml:space="preserve"> d’une place entre 2010 et 2011 apr</w:t>
      </w:r>
      <w:r w:rsidR="007E7F94" w:rsidRPr="0008466D">
        <w:rPr>
          <w:rFonts w:ascii="Cambria" w:hAnsi="Cambria"/>
          <w:sz w:val="24"/>
          <w:szCs w:val="24"/>
        </w:rPr>
        <w:t>è</w:t>
      </w:r>
      <w:r w:rsidR="00CE7905">
        <w:rPr>
          <w:rFonts w:ascii="Cambria" w:hAnsi="Cambria"/>
          <w:sz w:val="24"/>
          <w:szCs w:val="24"/>
        </w:rPr>
        <w:t>s que le pays ait connu un progrès grâce à la</w:t>
      </w:r>
      <w:r w:rsidR="00B23534" w:rsidRPr="0008466D">
        <w:rPr>
          <w:rFonts w:ascii="Cambria" w:hAnsi="Cambria"/>
          <w:sz w:val="24"/>
          <w:szCs w:val="24"/>
        </w:rPr>
        <w:t xml:space="preserve"> simpli</w:t>
      </w:r>
      <w:r w:rsidR="0008466D">
        <w:rPr>
          <w:rFonts w:ascii="Cambria" w:hAnsi="Cambria"/>
          <w:sz w:val="24"/>
          <w:szCs w:val="24"/>
        </w:rPr>
        <w:t>fi</w:t>
      </w:r>
      <w:r w:rsidR="00CE7905">
        <w:rPr>
          <w:rFonts w:ascii="Cambria" w:hAnsi="Cambria"/>
          <w:sz w:val="24"/>
          <w:szCs w:val="24"/>
        </w:rPr>
        <w:t>cation d</w:t>
      </w:r>
      <w:r w:rsidR="00B23534" w:rsidRPr="0008466D">
        <w:rPr>
          <w:rFonts w:ascii="Cambria" w:hAnsi="Cambria"/>
          <w:sz w:val="24"/>
          <w:szCs w:val="24"/>
        </w:rPr>
        <w:t xml:space="preserve">es </w:t>
      </w:r>
      <w:r w:rsidR="0008466D" w:rsidRPr="0008466D">
        <w:rPr>
          <w:rFonts w:ascii="Cambria" w:hAnsi="Cambria"/>
          <w:sz w:val="24"/>
          <w:szCs w:val="24"/>
        </w:rPr>
        <w:t>procédures</w:t>
      </w:r>
      <w:r w:rsidR="00B23534" w:rsidRPr="0008466D">
        <w:rPr>
          <w:rFonts w:ascii="Cambria" w:hAnsi="Cambria"/>
          <w:sz w:val="24"/>
          <w:szCs w:val="24"/>
        </w:rPr>
        <w:t xml:space="preserve"> de </w:t>
      </w:r>
      <w:r w:rsidR="0008466D" w:rsidRPr="0008466D">
        <w:rPr>
          <w:rFonts w:ascii="Cambria" w:hAnsi="Cambria"/>
          <w:sz w:val="24"/>
          <w:szCs w:val="24"/>
        </w:rPr>
        <w:t>création</w:t>
      </w:r>
      <w:r w:rsidR="00B23534" w:rsidRPr="0008466D">
        <w:rPr>
          <w:rFonts w:ascii="Cambria" w:hAnsi="Cambria"/>
          <w:sz w:val="24"/>
          <w:szCs w:val="24"/>
        </w:rPr>
        <w:t xml:space="preserve"> d’entreprises, </w:t>
      </w:r>
      <w:r w:rsidR="00CE7905">
        <w:rPr>
          <w:rFonts w:ascii="Cambria" w:hAnsi="Cambria"/>
          <w:sz w:val="24"/>
          <w:szCs w:val="24"/>
        </w:rPr>
        <w:t xml:space="preserve">la </w:t>
      </w:r>
      <w:r w:rsidR="0008466D" w:rsidRPr="0008466D">
        <w:rPr>
          <w:rFonts w:ascii="Cambria" w:hAnsi="Cambria"/>
          <w:sz w:val="24"/>
          <w:szCs w:val="24"/>
        </w:rPr>
        <w:t>réduction</w:t>
      </w:r>
      <w:r w:rsidR="00B23534" w:rsidRPr="0008466D">
        <w:rPr>
          <w:rFonts w:ascii="Cambria" w:hAnsi="Cambria"/>
          <w:sz w:val="24"/>
          <w:szCs w:val="24"/>
        </w:rPr>
        <w:t xml:space="preserve"> des </w:t>
      </w:r>
      <w:r w:rsidR="0008466D" w:rsidRPr="0008466D">
        <w:rPr>
          <w:rFonts w:ascii="Cambria" w:hAnsi="Cambria"/>
          <w:sz w:val="24"/>
          <w:szCs w:val="24"/>
        </w:rPr>
        <w:t>délais</w:t>
      </w:r>
      <w:r w:rsidR="00B23534" w:rsidRPr="0008466D">
        <w:rPr>
          <w:rFonts w:ascii="Cambria" w:hAnsi="Cambria"/>
          <w:sz w:val="24"/>
          <w:szCs w:val="24"/>
        </w:rPr>
        <w:t xml:space="preserve"> dans les </w:t>
      </w:r>
      <w:r w:rsidR="0008466D" w:rsidRPr="0008466D">
        <w:rPr>
          <w:rFonts w:ascii="Cambria" w:hAnsi="Cambria"/>
          <w:sz w:val="24"/>
          <w:szCs w:val="24"/>
        </w:rPr>
        <w:t>procédures</w:t>
      </w:r>
      <w:r w:rsidR="00B23534" w:rsidRPr="0008466D">
        <w:rPr>
          <w:rFonts w:ascii="Cambria" w:hAnsi="Cambria"/>
          <w:sz w:val="24"/>
          <w:szCs w:val="24"/>
        </w:rPr>
        <w:t xml:space="preserve"> de transfert de </w:t>
      </w:r>
      <w:r w:rsidR="0008466D" w:rsidRPr="0008466D">
        <w:rPr>
          <w:rFonts w:ascii="Cambria" w:hAnsi="Cambria"/>
          <w:sz w:val="24"/>
          <w:szCs w:val="24"/>
        </w:rPr>
        <w:t>propriété</w:t>
      </w:r>
      <w:r w:rsidR="00CE7905">
        <w:rPr>
          <w:rFonts w:ascii="Cambria" w:hAnsi="Cambria"/>
          <w:sz w:val="24"/>
          <w:szCs w:val="24"/>
        </w:rPr>
        <w:t>, etc.</w:t>
      </w:r>
      <w:r w:rsidR="00B23534" w:rsidRPr="0008466D">
        <w:rPr>
          <w:rFonts w:ascii="Cambria" w:hAnsi="Cambria"/>
          <w:sz w:val="24"/>
          <w:szCs w:val="24"/>
        </w:rPr>
        <w:t xml:space="preserve"> en 2008.</w:t>
      </w:r>
    </w:p>
    <w:p w:rsidR="004370EE" w:rsidRPr="0008466D" w:rsidRDefault="004370EE" w:rsidP="00674C9C">
      <w:pPr>
        <w:pStyle w:val="ListParagraph"/>
        <w:ind w:left="0"/>
        <w:jc w:val="both"/>
        <w:rPr>
          <w:rFonts w:ascii="Cambria" w:hAnsi="Cambria"/>
          <w:sz w:val="24"/>
          <w:szCs w:val="24"/>
        </w:rPr>
      </w:pPr>
    </w:p>
    <w:p w:rsidR="00E2358A" w:rsidRPr="0008466D" w:rsidRDefault="00E2358A" w:rsidP="00674C9C">
      <w:pPr>
        <w:pStyle w:val="ListParagraph"/>
        <w:ind w:left="0"/>
        <w:jc w:val="both"/>
        <w:rPr>
          <w:rFonts w:ascii="Cambria" w:hAnsi="Cambria"/>
          <w:sz w:val="24"/>
          <w:szCs w:val="24"/>
        </w:rPr>
      </w:pPr>
      <w:r w:rsidRPr="0008466D">
        <w:rPr>
          <w:rFonts w:ascii="Cambria" w:hAnsi="Cambria"/>
          <w:sz w:val="24"/>
          <w:szCs w:val="24"/>
        </w:rPr>
        <w:t>Compar</w:t>
      </w:r>
      <w:r w:rsidR="00AB45AD" w:rsidRPr="00AB45AD">
        <w:rPr>
          <w:rFonts w:ascii="Cambria" w:hAnsi="Cambria"/>
          <w:sz w:val="24"/>
          <w:szCs w:val="24"/>
        </w:rPr>
        <w:t>é</w:t>
      </w:r>
      <w:r w:rsidRPr="0008466D">
        <w:rPr>
          <w:rFonts w:ascii="Cambria" w:hAnsi="Cambria"/>
          <w:sz w:val="24"/>
          <w:szCs w:val="24"/>
        </w:rPr>
        <w:t xml:space="preserve"> au Ghana </w:t>
      </w:r>
      <w:r w:rsidR="00AB45AD" w:rsidRPr="0008466D">
        <w:rPr>
          <w:rFonts w:ascii="Cambria" w:hAnsi="Cambria"/>
          <w:sz w:val="24"/>
          <w:szCs w:val="24"/>
        </w:rPr>
        <w:t>où</w:t>
      </w:r>
      <w:r w:rsidRPr="0008466D">
        <w:rPr>
          <w:rFonts w:ascii="Cambria" w:hAnsi="Cambria"/>
          <w:sz w:val="24"/>
          <w:szCs w:val="24"/>
        </w:rPr>
        <w:t xml:space="preserve"> le </w:t>
      </w:r>
      <w:r w:rsidR="00CE7905" w:rsidRPr="0008466D">
        <w:rPr>
          <w:rFonts w:ascii="Cambria" w:hAnsi="Cambria"/>
          <w:sz w:val="24"/>
          <w:szCs w:val="24"/>
        </w:rPr>
        <w:t>coût</w:t>
      </w:r>
      <w:r w:rsidRPr="0008466D">
        <w:rPr>
          <w:rFonts w:ascii="Cambria" w:hAnsi="Cambria"/>
          <w:sz w:val="24"/>
          <w:szCs w:val="24"/>
        </w:rPr>
        <w:t xml:space="preserve"> de </w:t>
      </w:r>
      <w:r w:rsidR="0008466D" w:rsidRPr="0008466D">
        <w:rPr>
          <w:rFonts w:ascii="Cambria" w:hAnsi="Cambria"/>
          <w:sz w:val="24"/>
          <w:szCs w:val="24"/>
        </w:rPr>
        <w:t>création</w:t>
      </w:r>
      <w:r w:rsidRPr="0008466D">
        <w:rPr>
          <w:rFonts w:ascii="Cambria" w:hAnsi="Cambria"/>
          <w:sz w:val="24"/>
          <w:szCs w:val="24"/>
        </w:rPr>
        <w:t xml:space="preserve"> d’une entreprise </w:t>
      </w:r>
      <w:r w:rsidR="0008466D" w:rsidRPr="0008466D">
        <w:rPr>
          <w:rFonts w:ascii="Cambria" w:hAnsi="Cambria"/>
          <w:sz w:val="24"/>
          <w:szCs w:val="24"/>
        </w:rPr>
        <w:t>représente</w:t>
      </w:r>
      <w:r w:rsidRPr="0008466D">
        <w:rPr>
          <w:rFonts w:ascii="Cambria" w:hAnsi="Cambria"/>
          <w:sz w:val="24"/>
          <w:szCs w:val="24"/>
        </w:rPr>
        <w:t xml:space="preserve">, en 2010, 20% de l’investissement brut national par </w:t>
      </w:r>
      <w:r w:rsidR="0008466D" w:rsidRPr="0008466D">
        <w:rPr>
          <w:rFonts w:ascii="Cambria" w:hAnsi="Cambria"/>
          <w:sz w:val="24"/>
          <w:szCs w:val="24"/>
        </w:rPr>
        <w:t>tête</w:t>
      </w:r>
      <w:r w:rsidR="00AB45AD">
        <w:rPr>
          <w:rFonts w:ascii="Cambria" w:hAnsi="Cambria"/>
          <w:sz w:val="24"/>
          <w:szCs w:val="24"/>
        </w:rPr>
        <w:t xml:space="preserve"> d’habitant</w:t>
      </w:r>
      <w:r w:rsidRPr="0008466D">
        <w:rPr>
          <w:rFonts w:ascii="Cambria" w:hAnsi="Cambria"/>
          <w:sz w:val="24"/>
          <w:szCs w:val="24"/>
        </w:rPr>
        <w:t xml:space="preserve">, le </w:t>
      </w:r>
      <w:r w:rsidR="0008466D" w:rsidRPr="0008466D">
        <w:rPr>
          <w:rFonts w:ascii="Cambria" w:hAnsi="Cambria"/>
          <w:sz w:val="24"/>
          <w:szCs w:val="24"/>
        </w:rPr>
        <w:t>Sénégal</w:t>
      </w:r>
      <w:r w:rsidRPr="0008466D">
        <w:rPr>
          <w:rFonts w:ascii="Cambria" w:hAnsi="Cambria"/>
          <w:sz w:val="24"/>
          <w:szCs w:val="24"/>
        </w:rPr>
        <w:t xml:space="preserve"> </w:t>
      </w:r>
      <w:r w:rsidR="00AB45AD">
        <w:rPr>
          <w:rFonts w:ascii="Cambria" w:hAnsi="Cambria"/>
          <w:sz w:val="24"/>
          <w:szCs w:val="24"/>
        </w:rPr>
        <w:t xml:space="preserve">en </w:t>
      </w:r>
      <w:r w:rsidRPr="0008466D">
        <w:rPr>
          <w:rFonts w:ascii="Cambria" w:hAnsi="Cambria"/>
          <w:sz w:val="24"/>
          <w:szCs w:val="24"/>
        </w:rPr>
        <w:t>est encore au taux de 63%</w:t>
      </w:r>
      <w:r w:rsidR="00AB45AD">
        <w:rPr>
          <w:rFonts w:ascii="Cambria" w:hAnsi="Cambria"/>
          <w:sz w:val="24"/>
          <w:szCs w:val="24"/>
        </w:rPr>
        <w:t xml:space="preserve">, soit trois fois plus cher que le coût </w:t>
      </w:r>
      <w:r w:rsidR="00CE7905">
        <w:rPr>
          <w:rFonts w:ascii="Cambria" w:hAnsi="Cambria"/>
          <w:sz w:val="24"/>
          <w:szCs w:val="24"/>
        </w:rPr>
        <w:t xml:space="preserve">pour démarrer son affaire au </w:t>
      </w:r>
      <w:r w:rsidR="00AB45AD">
        <w:rPr>
          <w:rFonts w:ascii="Cambria" w:hAnsi="Cambria"/>
          <w:sz w:val="24"/>
          <w:szCs w:val="24"/>
        </w:rPr>
        <w:t>Ghana</w:t>
      </w:r>
      <w:r w:rsidR="00CE7905">
        <w:rPr>
          <w:rFonts w:ascii="Cambria" w:hAnsi="Cambria"/>
          <w:sz w:val="24"/>
          <w:szCs w:val="24"/>
        </w:rPr>
        <w:t>. Au Cap</w:t>
      </w:r>
      <w:r w:rsidRPr="0008466D">
        <w:rPr>
          <w:rFonts w:ascii="Cambria" w:hAnsi="Cambria"/>
          <w:sz w:val="24"/>
          <w:szCs w:val="24"/>
        </w:rPr>
        <w:t xml:space="preserve">-Vert et au Burkina Faso, ce </w:t>
      </w:r>
      <w:r w:rsidR="00CE7905">
        <w:rPr>
          <w:rFonts w:ascii="Cambria" w:hAnsi="Cambria"/>
          <w:sz w:val="24"/>
          <w:szCs w:val="24"/>
        </w:rPr>
        <w:t>coût</w:t>
      </w:r>
      <w:r w:rsidRPr="0008466D">
        <w:rPr>
          <w:rFonts w:ascii="Cambria" w:hAnsi="Cambria"/>
          <w:sz w:val="24"/>
          <w:szCs w:val="24"/>
        </w:rPr>
        <w:t xml:space="preserve"> est</w:t>
      </w:r>
      <w:r w:rsidR="00CE7905">
        <w:rPr>
          <w:rFonts w:ascii="Cambria" w:hAnsi="Cambria"/>
          <w:sz w:val="24"/>
          <w:szCs w:val="24"/>
        </w:rPr>
        <w:t>, respectivement,</w:t>
      </w:r>
      <w:r w:rsidRPr="0008466D">
        <w:rPr>
          <w:rFonts w:ascii="Cambria" w:hAnsi="Cambria"/>
          <w:sz w:val="24"/>
          <w:szCs w:val="24"/>
        </w:rPr>
        <w:t xml:space="preserve"> </w:t>
      </w:r>
      <w:r w:rsidR="007E7F94" w:rsidRPr="0008466D">
        <w:rPr>
          <w:rFonts w:ascii="Cambria" w:hAnsi="Cambria"/>
          <w:sz w:val="24"/>
          <w:szCs w:val="24"/>
        </w:rPr>
        <w:t>à</w:t>
      </w:r>
      <w:r w:rsidRPr="0008466D">
        <w:rPr>
          <w:rFonts w:ascii="Cambria" w:hAnsi="Cambria"/>
          <w:sz w:val="24"/>
          <w:szCs w:val="24"/>
        </w:rPr>
        <w:t xml:space="preserve"> 18.5% et 49.8% </w:t>
      </w:r>
      <w:r w:rsidR="00CE7905">
        <w:rPr>
          <w:rFonts w:ascii="Cambria" w:hAnsi="Cambria"/>
          <w:sz w:val="24"/>
          <w:szCs w:val="24"/>
        </w:rPr>
        <w:t xml:space="preserve">de </w:t>
      </w:r>
      <w:r w:rsidR="00CE7905" w:rsidRPr="00CE7905">
        <w:rPr>
          <w:rFonts w:ascii="Cambria" w:hAnsi="Cambria"/>
          <w:sz w:val="24"/>
          <w:szCs w:val="24"/>
        </w:rPr>
        <w:t>l’investissement brut national par tête d’habitant</w:t>
      </w:r>
      <w:r w:rsidRPr="0008466D">
        <w:rPr>
          <w:rFonts w:ascii="Cambria" w:hAnsi="Cambria"/>
          <w:sz w:val="24"/>
          <w:szCs w:val="24"/>
        </w:rPr>
        <w:t>.</w:t>
      </w:r>
    </w:p>
    <w:p w:rsidR="00E2358A" w:rsidRPr="0008466D" w:rsidRDefault="00E2358A" w:rsidP="00E2358A">
      <w:pPr>
        <w:pStyle w:val="ListParagraph"/>
        <w:ind w:left="0"/>
        <w:jc w:val="both"/>
        <w:rPr>
          <w:rFonts w:ascii="Cambria" w:hAnsi="Cambria"/>
          <w:sz w:val="24"/>
          <w:szCs w:val="24"/>
        </w:rPr>
      </w:pPr>
    </w:p>
    <w:p w:rsidR="00E2358A" w:rsidRDefault="00C45845" w:rsidP="00E2358A">
      <w:pPr>
        <w:pStyle w:val="ListParagraph"/>
        <w:ind w:left="0"/>
        <w:jc w:val="both"/>
        <w:rPr>
          <w:rFonts w:ascii="Cambria" w:hAnsi="Cambria"/>
          <w:sz w:val="24"/>
          <w:szCs w:val="24"/>
        </w:rPr>
      </w:pPr>
      <w:r w:rsidRPr="00C45845">
        <w:rPr>
          <w:rFonts w:ascii="Cambria" w:hAnsi="Cambria"/>
          <w:sz w:val="24"/>
          <w:szCs w:val="24"/>
        </w:rPr>
        <w:t xml:space="preserve">Au regard des informations fournies ci-dessus, il serait sinon </w:t>
      </w:r>
      <w:r w:rsidR="00201A6A">
        <w:rPr>
          <w:rFonts w:ascii="Cambria" w:hAnsi="Cambria"/>
          <w:sz w:val="24"/>
          <w:szCs w:val="24"/>
        </w:rPr>
        <w:t>malhonnête</w:t>
      </w:r>
      <w:r w:rsidRPr="00C45845">
        <w:rPr>
          <w:rFonts w:ascii="Cambria" w:hAnsi="Cambria"/>
          <w:sz w:val="24"/>
          <w:szCs w:val="24"/>
        </w:rPr>
        <w:t xml:space="preserve"> du moins </w:t>
      </w:r>
      <w:r>
        <w:rPr>
          <w:rFonts w:ascii="Cambria" w:hAnsi="Cambria"/>
          <w:sz w:val="24"/>
          <w:szCs w:val="24"/>
        </w:rPr>
        <w:t xml:space="preserve">assez </w:t>
      </w:r>
      <w:r w:rsidRPr="00C45845">
        <w:rPr>
          <w:rFonts w:ascii="Cambria" w:hAnsi="Cambria"/>
          <w:sz w:val="24"/>
          <w:szCs w:val="24"/>
        </w:rPr>
        <w:t>audacieux</w:t>
      </w:r>
      <w:r>
        <w:rPr>
          <w:rFonts w:ascii="Cambria" w:hAnsi="Cambria"/>
          <w:sz w:val="24"/>
          <w:szCs w:val="24"/>
        </w:rPr>
        <w:t xml:space="preserve"> d’affirmer</w:t>
      </w:r>
      <w:r w:rsidR="001A6DB0">
        <w:rPr>
          <w:rFonts w:ascii="Cambria" w:hAnsi="Cambria"/>
          <w:sz w:val="24"/>
          <w:szCs w:val="24"/>
        </w:rPr>
        <w:t>,</w:t>
      </w:r>
      <w:r>
        <w:rPr>
          <w:rFonts w:ascii="Cambria" w:hAnsi="Cambria"/>
          <w:sz w:val="24"/>
          <w:szCs w:val="24"/>
        </w:rPr>
        <w:t xml:space="preserve"> de </w:t>
      </w:r>
      <w:r w:rsidR="00201A6A">
        <w:rPr>
          <w:rFonts w:ascii="Cambria" w:hAnsi="Cambria"/>
          <w:sz w:val="24"/>
          <w:szCs w:val="24"/>
        </w:rPr>
        <w:t>façon</w:t>
      </w:r>
      <w:r>
        <w:rPr>
          <w:rFonts w:ascii="Cambria" w:hAnsi="Cambria"/>
          <w:sz w:val="24"/>
          <w:szCs w:val="24"/>
        </w:rPr>
        <w:t xml:space="preserve"> </w:t>
      </w:r>
      <w:r w:rsidR="00201A6A">
        <w:rPr>
          <w:rFonts w:ascii="Cambria" w:hAnsi="Cambria"/>
          <w:sz w:val="24"/>
          <w:szCs w:val="24"/>
        </w:rPr>
        <w:t>péremptoire</w:t>
      </w:r>
      <w:r w:rsidR="001A6DB0">
        <w:rPr>
          <w:rFonts w:ascii="Cambria" w:hAnsi="Cambria"/>
          <w:sz w:val="24"/>
          <w:szCs w:val="24"/>
        </w:rPr>
        <w:t>,</w:t>
      </w:r>
      <w:r>
        <w:rPr>
          <w:rFonts w:ascii="Cambria" w:hAnsi="Cambria"/>
          <w:sz w:val="24"/>
          <w:szCs w:val="24"/>
        </w:rPr>
        <w:t xml:space="preserve"> que tout va pour le mieux au </w:t>
      </w:r>
      <w:r w:rsidR="00201A6A">
        <w:rPr>
          <w:rFonts w:ascii="Cambria" w:hAnsi="Cambria"/>
          <w:sz w:val="24"/>
          <w:szCs w:val="24"/>
        </w:rPr>
        <w:t>Sénégal</w:t>
      </w:r>
      <w:r>
        <w:rPr>
          <w:rFonts w:ascii="Cambria" w:hAnsi="Cambria"/>
          <w:sz w:val="24"/>
          <w:szCs w:val="24"/>
        </w:rPr>
        <w:t xml:space="preserve"> lorsque l’on regarde les indicateurs </w:t>
      </w:r>
      <w:r w:rsidR="00201A6A">
        <w:rPr>
          <w:rFonts w:ascii="Cambria" w:hAnsi="Cambria"/>
          <w:sz w:val="24"/>
          <w:szCs w:val="24"/>
        </w:rPr>
        <w:t>économiques</w:t>
      </w:r>
      <w:r>
        <w:rPr>
          <w:rFonts w:ascii="Cambria" w:hAnsi="Cambria"/>
          <w:sz w:val="24"/>
          <w:szCs w:val="24"/>
        </w:rPr>
        <w:t xml:space="preserve">. </w:t>
      </w:r>
      <w:r w:rsidR="00201A6A">
        <w:rPr>
          <w:rFonts w:ascii="Cambria" w:hAnsi="Cambria"/>
          <w:sz w:val="24"/>
          <w:szCs w:val="24"/>
        </w:rPr>
        <w:t>Cette attitude frise même le ridicule lorsque l’on va jusqu'à soutenir</w:t>
      </w:r>
      <w:r>
        <w:rPr>
          <w:rFonts w:ascii="Cambria" w:hAnsi="Cambria"/>
          <w:sz w:val="24"/>
          <w:szCs w:val="24"/>
        </w:rPr>
        <w:t xml:space="preserve"> que le </w:t>
      </w:r>
      <w:r w:rsidR="00201A6A">
        <w:rPr>
          <w:rFonts w:ascii="Cambria" w:hAnsi="Cambria"/>
          <w:sz w:val="24"/>
          <w:szCs w:val="24"/>
        </w:rPr>
        <w:t>Sénégal</w:t>
      </w:r>
      <w:r>
        <w:rPr>
          <w:rFonts w:ascii="Cambria" w:hAnsi="Cambria"/>
          <w:sz w:val="24"/>
          <w:szCs w:val="24"/>
        </w:rPr>
        <w:t xml:space="preserve"> fait mieux que les pays de la </w:t>
      </w:r>
      <w:r w:rsidR="00201A6A">
        <w:rPr>
          <w:rFonts w:ascii="Cambria" w:hAnsi="Cambria"/>
          <w:sz w:val="24"/>
          <w:szCs w:val="24"/>
        </w:rPr>
        <w:t>sous-région</w:t>
      </w:r>
      <w:r>
        <w:rPr>
          <w:rFonts w:ascii="Cambria" w:hAnsi="Cambria"/>
          <w:sz w:val="24"/>
          <w:szCs w:val="24"/>
        </w:rPr>
        <w:t>. Des pays comme la Cote d’Ivoire sont arriv</w:t>
      </w:r>
      <w:r w:rsidR="00201A6A" w:rsidRPr="00201A6A">
        <w:rPr>
          <w:rFonts w:ascii="Cambria" w:hAnsi="Cambria"/>
          <w:sz w:val="24"/>
          <w:szCs w:val="24"/>
        </w:rPr>
        <w:t>é</w:t>
      </w:r>
      <w:r>
        <w:rPr>
          <w:rFonts w:ascii="Cambria" w:hAnsi="Cambria"/>
          <w:sz w:val="24"/>
          <w:szCs w:val="24"/>
        </w:rPr>
        <w:t>s</w:t>
      </w:r>
      <w:r w:rsidR="00201A6A">
        <w:rPr>
          <w:rFonts w:ascii="Cambria" w:hAnsi="Cambria"/>
          <w:sz w:val="24"/>
          <w:szCs w:val="24"/>
        </w:rPr>
        <w:t>,</w:t>
      </w:r>
      <w:r>
        <w:rPr>
          <w:rFonts w:ascii="Cambria" w:hAnsi="Cambria"/>
          <w:sz w:val="24"/>
          <w:szCs w:val="24"/>
        </w:rPr>
        <w:t xml:space="preserve"> </w:t>
      </w:r>
      <w:r w:rsidR="00201A6A">
        <w:rPr>
          <w:rFonts w:ascii="Cambria" w:hAnsi="Cambria"/>
          <w:sz w:val="24"/>
          <w:szCs w:val="24"/>
        </w:rPr>
        <w:t xml:space="preserve">un </w:t>
      </w:r>
      <w:r>
        <w:rPr>
          <w:rFonts w:ascii="Cambria" w:hAnsi="Cambria"/>
          <w:sz w:val="24"/>
          <w:szCs w:val="24"/>
        </w:rPr>
        <w:t>tant soit peu</w:t>
      </w:r>
      <w:r w:rsidR="00201A6A">
        <w:rPr>
          <w:rFonts w:ascii="Cambria" w:hAnsi="Cambria"/>
          <w:sz w:val="24"/>
          <w:szCs w:val="24"/>
        </w:rPr>
        <w:t>,</w:t>
      </w:r>
      <w:r>
        <w:rPr>
          <w:rFonts w:ascii="Cambria" w:hAnsi="Cambria"/>
          <w:sz w:val="24"/>
          <w:szCs w:val="24"/>
        </w:rPr>
        <w:t xml:space="preserve"> </w:t>
      </w:r>
      <w:r w:rsidR="00201A6A" w:rsidRPr="00201A6A">
        <w:rPr>
          <w:rFonts w:ascii="Cambria" w:hAnsi="Cambria"/>
          <w:sz w:val="24"/>
          <w:szCs w:val="24"/>
        </w:rPr>
        <w:t>à</w:t>
      </w:r>
      <w:r>
        <w:rPr>
          <w:rFonts w:ascii="Cambria" w:hAnsi="Cambria"/>
          <w:sz w:val="24"/>
          <w:szCs w:val="24"/>
        </w:rPr>
        <w:t xml:space="preserve"> fournir de l’</w:t>
      </w:r>
      <w:r w:rsidR="00201A6A">
        <w:rPr>
          <w:rFonts w:ascii="Cambria" w:hAnsi="Cambria"/>
          <w:sz w:val="24"/>
          <w:szCs w:val="24"/>
        </w:rPr>
        <w:t>électricité</w:t>
      </w:r>
      <w:r>
        <w:rPr>
          <w:rFonts w:ascii="Cambria" w:hAnsi="Cambria"/>
          <w:sz w:val="24"/>
          <w:szCs w:val="24"/>
        </w:rPr>
        <w:t xml:space="preserve"> sur toute l’</w:t>
      </w:r>
      <w:r w:rsidR="00201A6A">
        <w:rPr>
          <w:rFonts w:ascii="Cambria" w:hAnsi="Cambria"/>
          <w:sz w:val="24"/>
          <w:szCs w:val="24"/>
        </w:rPr>
        <w:t>étendue</w:t>
      </w:r>
      <w:r>
        <w:rPr>
          <w:rFonts w:ascii="Cambria" w:hAnsi="Cambria"/>
          <w:sz w:val="24"/>
          <w:szCs w:val="24"/>
        </w:rPr>
        <w:t xml:space="preserve"> du territoire en pleine guerre civile alors que le </w:t>
      </w:r>
      <w:r w:rsidR="00201A6A">
        <w:rPr>
          <w:rFonts w:ascii="Cambria" w:hAnsi="Cambria"/>
          <w:sz w:val="24"/>
          <w:szCs w:val="24"/>
        </w:rPr>
        <w:t>Sénégal,</w:t>
      </w:r>
      <w:r>
        <w:rPr>
          <w:rFonts w:ascii="Cambria" w:hAnsi="Cambria"/>
          <w:sz w:val="24"/>
          <w:szCs w:val="24"/>
        </w:rPr>
        <w:t xml:space="preserve"> qui</w:t>
      </w:r>
      <w:r w:rsidR="00201A6A">
        <w:rPr>
          <w:rFonts w:ascii="Cambria" w:hAnsi="Cambria"/>
          <w:sz w:val="24"/>
          <w:szCs w:val="24"/>
        </w:rPr>
        <w:t xml:space="preserve"> se targe d’être </w:t>
      </w:r>
      <w:r w:rsidR="00D04CE4">
        <w:rPr>
          <w:rFonts w:ascii="Cambria" w:hAnsi="Cambria"/>
          <w:sz w:val="24"/>
          <w:szCs w:val="24"/>
        </w:rPr>
        <w:t>un pays</w:t>
      </w:r>
      <w:r w:rsidR="00201A6A">
        <w:rPr>
          <w:rFonts w:ascii="Cambria" w:hAnsi="Cambria"/>
          <w:sz w:val="24"/>
          <w:szCs w:val="24"/>
        </w:rPr>
        <w:t xml:space="preserve"> stable, </w:t>
      </w:r>
      <w:r>
        <w:rPr>
          <w:rFonts w:ascii="Cambria" w:hAnsi="Cambria"/>
          <w:sz w:val="24"/>
          <w:szCs w:val="24"/>
        </w:rPr>
        <w:t>parvient</w:t>
      </w:r>
      <w:r w:rsidR="00201A6A">
        <w:rPr>
          <w:rFonts w:ascii="Cambria" w:hAnsi="Cambria"/>
          <w:sz w:val="24"/>
          <w:szCs w:val="24"/>
        </w:rPr>
        <w:t xml:space="preserve"> </w:t>
      </w:r>
      <w:r w:rsidR="00201A6A" w:rsidRPr="00201A6A">
        <w:rPr>
          <w:rFonts w:ascii="Cambria" w:hAnsi="Cambria"/>
          <w:sz w:val="24"/>
          <w:szCs w:val="24"/>
        </w:rPr>
        <w:t>à</w:t>
      </w:r>
      <w:r w:rsidR="00201A6A">
        <w:rPr>
          <w:rFonts w:ascii="Cambria" w:hAnsi="Cambria"/>
          <w:sz w:val="24"/>
          <w:szCs w:val="24"/>
        </w:rPr>
        <w:t xml:space="preserve"> peine </w:t>
      </w:r>
      <w:r w:rsidR="00201A6A" w:rsidRPr="00201A6A">
        <w:rPr>
          <w:rFonts w:ascii="Cambria" w:hAnsi="Cambria"/>
          <w:sz w:val="24"/>
          <w:szCs w:val="24"/>
        </w:rPr>
        <w:t>à</w:t>
      </w:r>
      <w:r w:rsidR="00D04CE4">
        <w:rPr>
          <w:rFonts w:ascii="Cambria" w:hAnsi="Cambria"/>
          <w:sz w:val="24"/>
          <w:szCs w:val="24"/>
        </w:rPr>
        <w:t xml:space="preserve"> éclairer toute la </w:t>
      </w:r>
      <w:r w:rsidR="007E548B">
        <w:rPr>
          <w:rFonts w:ascii="Cambria" w:hAnsi="Cambria"/>
          <w:sz w:val="24"/>
          <w:szCs w:val="24"/>
        </w:rPr>
        <w:t>circonscription</w:t>
      </w:r>
      <w:r w:rsidR="00201A6A">
        <w:rPr>
          <w:rFonts w:ascii="Cambria" w:hAnsi="Cambria"/>
          <w:sz w:val="24"/>
          <w:szCs w:val="24"/>
        </w:rPr>
        <w:t xml:space="preserve"> de </w:t>
      </w:r>
      <w:proofErr w:type="spellStart"/>
      <w:r w:rsidR="00201A6A">
        <w:rPr>
          <w:rFonts w:ascii="Cambria" w:hAnsi="Cambria"/>
          <w:sz w:val="24"/>
          <w:szCs w:val="24"/>
        </w:rPr>
        <w:t>Gu</w:t>
      </w:r>
      <w:r w:rsidR="00201A6A" w:rsidRPr="00201A6A">
        <w:rPr>
          <w:rFonts w:ascii="Cambria" w:hAnsi="Cambria"/>
          <w:sz w:val="24"/>
          <w:szCs w:val="24"/>
        </w:rPr>
        <w:t>é</w:t>
      </w:r>
      <w:r w:rsidR="00201A6A">
        <w:rPr>
          <w:rFonts w:ascii="Cambria" w:hAnsi="Cambria"/>
          <w:sz w:val="24"/>
          <w:szCs w:val="24"/>
        </w:rPr>
        <w:t>diawaye</w:t>
      </w:r>
      <w:proofErr w:type="spellEnd"/>
      <w:r w:rsidR="001A6DB0">
        <w:rPr>
          <w:rFonts w:ascii="Cambria" w:hAnsi="Cambria"/>
          <w:sz w:val="24"/>
          <w:szCs w:val="24"/>
        </w:rPr>
        <w:t>,</w:t>
      </w:r>
      <w:r w:rsidR="00201A6A">
        <w:rPr>
          <w:rFonts w:ascii="Cambria" w:hAnsi="Cambria"/>
          <w:sz w:val="24"/>
          <w:szCs w:val="24"/>
        </w:rPr>
        <w:t xml:space="preserve"> ne serait-ce qu’une journée enti</w:t>
      </w:r>
      <w:r w:rsidR="00201A6A" w:rsidRPr="00201A6A">
        <w:rPr>
          <w:rFonts w:ascii="Cambria" w:hAnsi="Cambria"/>
          <w:sz w:val="24"/>
          <w:szCs w:val="24"/>
        </w:rPr>
        <w:t>è</w:t>
      </w:r>
      <w:r w:rsidR="00201A6A">
        <w:rPr>
          <w:rFonts w:ascii="Cambria" w:hAnsi="Cambria"/>
          <w:sz w:val="24"/>
          <w:szCs w:val="24"/>
        </w:rPr>
        <w:t>re depuis mainten</w:t>
      </w:r>
      <w:r w:rsidR="001A6DB0">
        <w:rPr>
          <w:rFonts w:ascii="Cambria" w:hAnsi="Cambria"/>
          <w:sz w:val="24"/>
          <w:szCs w:val="24"/>
        </w:rPr>
        <w:t>ant plus d’un an</w:t>
      </w:r>
      <w:r w:rsidR="00201A6A">
        <w:rPr>
          <w:rFonts w:ascii="Cambria" w:hAnsi="Cambria"/>
          <w:sz w:val="24"/>
          <w:szCs w:val="24"/>
        </w:rPr>
        <w:t>.</w:t>
      </w:r>
    </w:p>
    <w:p w:rsidR="001A6DB0" w:rsidRDefault="001A6DB0" w:rsidP="00E2358A">
      <w:pPr>
        <w:pStyle w:val="ListParagraph"/>
        <w:ind w:left="0"/>
        <w:jc w:val="both"/>
        <w:rPr>
          <w:rFonts w:ascii="Cambria" w:hAnsi="Cambria"/>
          <w:sz w:val="24"/>
          <w:szCs w:val="24"/>
        </w:rPr>
      </w:pPr>
    </w:p>
    <w:p w:rsidR="00201A6A" w:rsidRPr="00C45845" w:rsidRDefault="001A6DB0" w:rsidP="00E2358A">
      <w:pPr>
        <w:pStyle w:val="ListParagraph"/>
        <w:ind w:left="0"/>
        <w:jc w:val="both"/>
        <w:rPr>
          <w:rFonts w:ascii="Cambria" w:hAnsi="Cambria"/>
          <w:sz w:val="24"/>
          <w:szCs w:val="24"/>
        </w:rPr>
      </w:pPr>
      <w:r>
        <w:rPr>
          <w:rFonts w:ascii="Cambria" w:hAnsi="Cambria"/>
          <w:sz w:val="24"/>
          <w:szCs w:val="24"/>
        </w:rPr>
        <w:t>Par ailleurs</w:t>
      </w:r>
      <w:r w:rsidR="00201A6A">
        <w:rPr>
          <w:rFonts w:ascii="Cambria" w:hAnsi="Cambria"/>
          <w:sz w:val="24"/>
          <w:szCs w:val="24"/>
        </w:rPr>
        <w:t xml:space="preserve">, les contribuables </w:t>
      </w:r>
      <w:r w:rsidR="00EA607D">
        <w:rPr>
          <w:rFonts w:ascii="Cambria" w:hAnsi="Cambria"/>
          <w:sz w:val="24"/>
          <w:szCs w:val="24"/>
        </w:rPr>
        <w:t>Sénégalais sont en droit de s’interroger sur les motivations de la tentative récente du gouvernement de nationaliser la SONATEL avec cette surtaxe sur les appels entrants, surtout lorsque l’on sait qu</w:t>
      </w:r>
      <w:r w:rsidR="00380F9C">
        <w:rPr>
          <w:rFonts w:ascii="Cambria" w:hAnsi="Cambria"/>
          <w:sz w:val="24"/>
          <w:szCs w:val="24"/>
        </w:rPr>
        <w:t>’en 2010</w:t>
      </w:r>
      <w:r w:rsidR="00EA607D">
        <w:rPr>
          <w:rFonts w:ascii="Cambria" w:hAnsi="Cambria"/>
          <w:sz w:val="24"/>
          <w:szCs w:val="24"/>
        </w:rPr>
        <w:t>, l’Etat</w:t>
      </w:r>
      <w:r>
        <w:rPr>
          <w:rFonts w:ascii="Cambria" w:hAnsi="Cambria"/>
          <w:sz w:val="24"/>
          <w:szCs w:val="24"/>
        </w:rPr>
        <w:t>,</w:t>
      </w:r>
      <w:r w:rsidR="00EA607D">
        <w:rPr>
          <w:rFonts w:ascii="Cambria" w:hAnsi="Cambria"/>
          <w:sz w:val="24"/>
          <w:szCs w:val="24"/>
        </w:rPr>
        <w:t xml:space="preserve"> </w:t>
      </w:r>
      <w:r w:rsidR="00380F9C">
        <w:rPr>
          <w:rFonts w:ascii="Cambria" w:hAnsi="Cambria"/>
          <w:sz w:val="24"/>
          <w:szCs w:val="24"/>
        </w:rPr>
        <w:t>en mal d’argent</w:t>
      </w:r>
      <w:r>
        <w:rPr>
          <w:rFonts w:ascii="Cambria" w:hAnsi="Cambria"/>
          <w:sz w:val="24"/>
          <w:szCs w:val="24"/>
        </w:rPr>
        <w:t>,</w:t>
      </w:r>
      <w:r w:rsidR="00380F9C">
        <w:rPr>
          <w:rFonts w:ascii="Cambria" w:hAnsi="Cambria"/>
          <w:sz w:val="24"/>
          <w:szCs w:val="24"/>
        </w:rPr>
        <w:t xml:space="preserve"> menaçait</w:t>
      </w:r>
      <w:r w:rsidR="00EA607D">
        <w:rPr>
          <w:rFonts w:ascii="Cambria" w:hAnsi="Cambria"/>
          <w:sz w:val="24"/>
          <w:szCs w:val="24"/>
        </w:rPr>
        <w:t xml:space="preserve"> de </w:t>
      </w:r>
      <w:r w:rsidR="00380F9C">
        <w:rPr>
          <w:rFonts w:ascii="Cambria" w:hAnsi="Cambria"/>
          <w:sz w:val="24"/>
          <w:szCs w:val="24"/>
        </w:rPr>
        <w:t>céder</w:t>
      </w:r>
      <w:r w:rsidR="00EA607D">
        <w:rPr>
          <w:rFonts w:ascii="Cambria" w:hAnsi="Cambria"/>
          <w:sz w:val="24"/>
          <w:szCs w:val="24"/>
        </w:rPr>
        <w:t xml:space="preserve"> </w:t>
      </w:r>
      <w:r w:rsidR="00380F9C">
        <w:rPr>
          <w:rFonts w:ascii="Cambria" w:hAnsi="Cambria"/>
          <w:sz w:val="24"/>
          <w:szCs w:val="24"/>
        </w:rPr>
        <w:t>des</w:t>
      </w:r>
      <w:r w:rsidR="00EA607D">
        <w:rPr>
          <w:rFonts w:ascii="Cambria" w:hAnsi="Cambria"/>
          <w:sz w:val="24"/>
          <w:szCs w:val="24"/>
        </w:rPr>
        <w:t xml:space="preserve"> actions</w:t>
      </w:r>
      <w:r w:rsidR="00380F9C">
        <w:rPr>
          <w:rFonts w:ascii="Cambria" w:hAnsi="Cambria"/>
          <w:sz w:val="24"/>
          <w:szCs w:val="24"/>
        </w:rPr>
        <w:t xml:space="preserve"> pour ramener sa </w:t>
      </w:r>
      <w:proofErr w:type="spellStart"/>
      <w:r w:rsidR="00380F9C">
        <w:rPr>
          <w:rFonts w:ascii="Cambria" w:hAnsi="Cambria"/>
          <w:sz w:val="24"/>
          <w:szCs w:val="24"/>
        </w:rPr>
        <w:t>quote</w:t>
      </w:r>
      <w:proofErr w:type="spellEnd"/>
      <w:r w:rsidR="00380F9C">
        <w:rPr>
          <w:rFonts w:ascii="Cambria" w:hAnsi="Cambria"/>
          <w:sz w:val="24"/>
          <w:szCs w:val="24"/>
        </w:rPr>
        <w:t xml:space="preserve"> part de 27% a 18%</w:t>
      </w:r>
      <w:r w:rsidR="00EA607D">
        <w:rPr>
          <w:rFonts w:ascii="Cambria" w:hAnsi="Cambria"/>
          <w:sz w:val="24"/>
          <w:szCs w:val="24"/>
        </w:rPr>
        <w:t xml:space="preserve">. </w:t>
      </w:r>
      <w:r w:rsidR="00380F9C">
        <w:rPr>
          <w:rFonts w:ascii="Cambria" w:hAnsi="Cambria"/>
          <w:sz w:val="24"/>
          <w:szCs w:val="24"/>
        </w:rPr>
        <w:t xml:space="preserve">Ont-ils </w:t>
      </w:r>
      <w:r>
        <w:rPr>
          <w:rFonts w:ascii="Cambria" w:hAnsi="Cambria"/>
          <w:sz w:val="24"/>
          <w:szCs w:val="24"/>
        </w:rPr>
        <w:t xml:space="preserve">vraiment </w:t>
      </w:r>
      <w:r w:rsidR="00380F9C">
        <w:rPr>
          <w:rFonts w:ascii="Cambria" w:hAnsi="Cambria"/>
          <w:sz w:val="24"/>
          <w:szCs w:val="24"/>
        </w:rPr>
        <w:t xml:space="preserve">pris la </w:t>
      </w:r>
      <w:r w:rsidR="00380F9C">
        <w:rPr>
          <w:rFonts w:ascii="Cambria" w:hAnsi="Cambria"/>
          <w:sz w:val="24"/>
          <w:szCs w:val="24"/>
        </w:rPr>
        <w:lastRenderedPageBreak/>
        <w:t xml:space="preserve">mesure des effets néfastes de cette surtaxe sur les investissements dans le secteur des télécommunications mais aussi et surtout </w:t>
      </w:r>
      <w:r>
        <w:rPr>
          <w:rFonts w:ascii="Cambria" w:hAnsi="Cambria"/>
          <w:sz w:val="24"/>
          <w:szCs w:val="24"/>
        </w:rPr>
        <w:t>mesurent-ils l</w:t>
      </w:r>
      <w:r w:rsidR="00380F9C">
        <w:rPr>
          <w:rFonts w:ascii="Cambria" w:hAnsi="Cambria"/>
          <w:sz w:val="24"/>
          <w:szCs w:val="24"/>
        </w:rPr>
        <w:t xml:space="preserve">es pertes de revenus qui pourraient en résulter pour la SONATEL qui, </w:t>
      </w:r>
      <w:r>
        <w:rPr>
          <w:rFonts w:ascii="Cambria" w:hAnsi="Cambria"/>
          <w:sz w:val="24"/>
          <w:szCs w:val="24"/>
        </w:rPr>
        <w:t xml:space="preserve">faut-il le rappeler </w:t>
      </w:r>
      <w:r w:rsidR="00380F9C">
        <w:rPr>
          <w:rFonts w:ascii="Cambria" w:hAnsi="Cambria"/>
          <w:sz w:val="24"/>
          <w:szCs w:val="24"/>
        </w:rPr>
        <w:t>au-demeurant, tire près de 80% de ses revenus des appels étrangers</w:t>
      </w:r>
      <w:r>
        <w:rPr>
          <w:rFonts w:ascii="Cambria" w:hAnsi="Cambria"/>
          <w:sz w:val="24"/>
          <w:szCs w:val="24"/>
        </w:rPr>
        <w:t> ?</w:t>
      </w:r>
      <w:r w:rsidR="00380F9C">
        <w:rPr>
          <w:rFonts w:ascii="Cambria" w:hAnsi="Cambria"/>
          <w:sz w:val="24"/>
          <w:szCs w:val="24"/>
        </w:rPr>
        <w:t xml:space="preserve"> </w:t>
      </w:r>
      <w:r w:rsidR="00EA607D">
        <w:rPr>
          <w:rFonts w:ascii="Cambria" w:hAnsi="Cambria"/>
          <w:sz w:val="24"/>
          <w:szCs w:val="24"/>
        </w:rPr>
        <w:t>Que le gouvernement nous dise l’utilisation qui sera faite des 60 milliards de FCFA de revenus annuels qui seront tir</w:t>
      </w:r>
      <w:r w:rsidR="00EA607D" w:rsidRPr="00EA607D">
        <w:rPr>
          <w:rFonts w:ascii="Cambria" w:hAnsi="Cambria"/>
          <w:sz w:val="24"/>
          <w:szCs w:val="24"/>
        </w:rPr>
        <w:t>é</w:t>
      </w:r>
      <w:r w:rsidR="00EA607D">
        <w:rPr>
          <w:rFonts w:ascii="Cambria" w:hAnsi="Cambria"/>
          <w:sz w:val="24"/>
          <w:szCs w:val="24"/>
        </w:rPr>
        <w:t>s de cette taxe !</w:t>
      </w:r>
      <w:r w:rsidR="00380F9C">
        <w:rPr>
          <w:rFonts w:ascii="Cambria" w:hAnsi="Cambria"/>
          <w:sz w:val="24"/>
          <w:szCs w:val="24"/>
        </w:rPr>
        <w:t xml:space="preserve"> Wade va-t-il utiliser ces revenus </w:t>
      </w:r>
      <w:r w:rsidR="00515DD3">
        <w:rPr>
          <w:rFonts w:ascii="Cambria" w:hAnsi="Cambria"/>
          <w:sz w:val="24"/>
          <w:szCs w:val="24"/>
        </w:rPr>
        <w:t>supplémentaires</w:t>
      </w:r>
      <w:r w:rsidR="00380F9C">
        <w:rPr>
          <w:rFonts w:ascii="Cambria" w:hAnsi="Cambria"/>
          <w:sz w:val="24"/>
          <w:szCs w:val="24"/>
        </w:rPr>
        <w:t xml:space="preserve"> pour des </w:t>
      </w:r>
      <w:r w:rsidR="00515DD3">
        <w:rPr>
          <w:rFonts w:ascii="Cambria" w:hAnsi="Cambria"/>
          <w:sz w:val="24"/>
          <w:szCs w:val="24"/>
        </w:rPr>
        <w:t>dépenses</w:t>
      </w:r>
      <w:r w:rsidR="00380F9C">
        <w:rPr>
          <w:rFonts w:ascii="Cambria" w:hAnsi="Cambria"/>
          <w:sz w:val="24"/>
          <w:szCs w:val="24"/>
        </w:rPr>
        <w:t xml:space="preserve"> </w:t>
      </w:r>
      <w:r w:rsidR="00515DD3">
        <w:rPr>
          <w:rFonts w:ascii="Cambria" w:hAnsi="Cambria"/>
          <w:sz w:val="24"/>
          <w:szCs w:val="24"/>
        </w:rPr>
        <w:t>liées</w:t>
      </w:r>
      <w:r w:rsidR="00380F9C">
        <w:rPr>
          <w:rFonts w:ascii="Cambria" w:hAnsi="Cambria"/>
          <w:sz w:val="24"/>
          <w:szCs w:val="24"/>
        </w:rPr>
        <w:t xml:space="preserve"> aux logements sociaux, </w:t>
      </w:r>
      <w:r w:rsidR="00515DD3">
        <w:rPr>
          <w:rFonts w:ascii="Cambria" w:hAnsi="Cambria"/>
          <w:sz w:val="24"/>
          <w:szCs w:val="24"/>
        </w:rPr>
        <w:t>à</w:t>
      </w:r>
      <w:r w:rsidR="00380F9C">
        <w:rPr>
          <w:rFonts w:ascii="Cambria" w:hAnsi="Cambria"/>
          <w:sz w:val="24"/>
          <w:szCs w:val="24"/>
        </w:rPr>
        <w:t xml:space="preserve"> l’info</w:t>
      </w:r>
      <w:r w:rsidR="00515DD3">
        <w:rPr>
          <w:rFonts w:ascii="Cambria" w:hAnsi="Cambria"/>
          <w:sz w:val="24"/>
          <w:szCs w:val="24"/>
        </w:rPr>
        <w:t>rmatique et à la case des tout petits, comme il l’aurait laiss</w:t>
      </w:r>
      <w:r w:rsidR="007A711E" w:rsidRPr="007A711E">
        <w:rPr>
          <w:rFonts w:ascii="Cambria" w:hAnsi="Cambria"/>
          <w:sz w:val="24"/>
          <w:szCs w:val="24"/>
        </w:rPr>
        <w:t>é</w:t>
      </w:r>
      <w:r w:rsidR="00515DD3">
        <w:rPr>
          <w:rFonts w:ascii="Cambria" w:hAnsi="Cambria"/>
          <w:sz w:val="24"/>
          <w:szCs w:val="24"/>
        </w:rPr>
        <w:t xml:space="preserve"> entendre ou cela servira-t-il </w:t>
      </w:r>
      <w:r w:rsidR="007A711E">
        <w:rPr>
          <w:rFonts w:ascii="Cambria" w:hAnsi="Cambria"/>
          <w:sz w:val="24"/>
          <w:szCs w:val="24"/>
        </w:rPr>
        <w:t>à</w:t>
      </w:r>
      <w:r w:rsidR="00515DD3">
        <w:rPr>
          <w:rFonts w:ascii="Cambria" w:hAnsi="Cambria"/>
          <w:sz w:val="24"/>
          <w:szCs w:val="24"/>
        </w:rPr>
        <w:t xml:space="preserve"> renflouer les caisses en vue de la campagne électorale?</w:t>
      </w:r>
      <w:r w:rsidR="007A711E">
        <w:rPr>
          <w:rFonts w:ascii="Cambria" w:hAnsi="Cambria"/>
          <w:sz w:val="24"/>
          <w:szCs w:val="24"/>
        </w:rPr>
        <w:t xml:space="preserve"> </w:t>
      </w:r>
    </w:p>
    <w:p w:rsidR="00E2358A" w:rsidRPr="0008466D" w:rsidRDefault="00E2358A" w:rsidP="00674C9C">
      <w:pPr>
        <w:pStyle w:val="ListParagraph"/>
        <w:ind w:left="0"/>
        <w:jc w:val="both"/>
        <w:rPr>
          <w:rFonts w:ascii="Cambria" w:hAnsi="Cambria"/>
          <w:sz w:val="24"/>
          <w:szCs w:val="24"/>
        </w:rPr>
      </w:pPr>
    </w:p>
    <w:sectPr w:rsidR="00E2358A" w:rsidRPr="0008466D" w:rsidSect="00402C2F">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88E" w:rsidRDefault="00EA188E" w:rsidP="00607152">
      <w:pPr>
        <w:spacing w:after="0" w:line="240" w:lineRule="auto"/>
      </w:pPr>
      <w:r>
        <w:separator/>
      </w:r>
    </w:p>
  </w:endnote>
  <w:endnote w:type="continuationSeparator" w:id="0">
    <w:p w:rsidR="00EA188E" w:rsidRDefault="00EA188E" w:rsidP="006071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394168"/>
      <w:docPartObj>
        <w:docPartGallery w:val="Page Numbers (Bottom of Page)"/>
        <w:docPartUnique/>
      </w:docPartObj>
    </w:sdtPr>
    <w:sdtContent>
      <w:p w:rsidR="00EA188E" w:rsidRDefault="00F450B2">
        <w:pPr>
          <w:pStyle w:val="Footer"/>
          <w:jc w:val="center"/>
        </w:pPr>
        <w:fldSimple w:instr=" PAGE   \* MERGEFORMAT ">
          <w:r w:rsidR="007E548B">
            <w:rPr>
              <w:noProof/>
            </w:rPr>
            <w:t>7</w:t>
          </w:r>
        </w:fldSimple>
      </w:p>
    </w:sdtContent>
  </w:sdt>
  <w:p w:rsidR="00EA188E" w:rsidRDefault="00EA18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88E" w:rsidRDefault="00EA188E" w:rsidP="00607152">
      <w:pPr>
        <w:spacing w:after="0" w:line="240" w:lineRule="auto"/>
      </w:pPr>
      <w:r>
        <w:separator/>
      </w:r>
    </w:p>
  </w:footnote>
  <w:footnote w:type="continuationSeparator" w:id="0">
    <w:p w:rsidR="00EA188E" w:rsidRDefault="00EA188E" w:rsidP="00607152">
      <w:pPr>
        <w:spacing w:after="0" w:line="240" w:lineRule="auto"/>
      </w:pPr>
      <w:r>
        <w:continuationSeparator/>
      </w:r>
    </w:p>
  </w:footnote>
  <w:footnote w:id="1">
    <w:p w:rsidR="00EA188E" w:rsidRPr="007A711E" w:rsidRDefault="00EA188E" w:rsidP="007A711E">
      <w:pPr>
        <w:pStyle w:val="FootnoteText"/>
        <w:jc w:val="both"/>
        <w:rPr>
          <w:rFonts w:asciiTheme="majorHAnsi" w:hAnsiTheme="majorHAnsi"/>
        </w:rPr>
      </w:pPr>
      <w:r w:rsidRPr="007A711E">
        <w:rPr>
          <w:rStyle w:val="FootnoteReference"/>
          <w:rFonts w:asciiTheme="majorHAnsi" w:hAnsiTheme="majorHAnsi"/>
        </w:rPr>
        <w:footnoteRef/>
      </w:r>
      <w:r w:rsidRPr="007A711E">
        <w:rPr>
          <w:rFonts w:asciiTheme="majorHAnsi" w:hAnsiTheme="majorHAnsi"/>
        </w:rPr>
        <w:t xml:space="preserve"> </w:t>
      </w:r>
      <w:r>
        <w:rPr>
          <w:rFonts w:asciiTheme="majorHAnsi" w:hAnsiTheme="majorHAnsi"/>
        </w:rPr>
        <w:t xml:space="preserve">Il faut noter que près de la </w:t>
      </w:r>
      <w:r w:rsidR="00B569B5">
        <w:rPr>
          <w:rFonts w:asciiTheme="majorHAnsi" w:hAnsiTheme="majorHAnsi"/>
        </w:rPr>
        <w:t>moitié</w:t>
      </w:r>
      <w:r>
        <w:rPr>
          <w:rFonts w:asciiTheme="majorHAnsi" w:hAnsiTheme="majorHAnsi"/>
        </w:rPr>
        <w:t xml:space="preserve"> du budget alloué au plan </w:t>
      </w:r>
      <w:proofErr w:type="spellStart"/>
      <w:r w:rsidRPr="00B569B5">
        <w:rPr>
          <w:rFonts w:asciiTheme="majorHAnsi" w:hAnsiTheme="majorHAnsi"/>
          <w:i/>
        </w:rPr>
        <w:t>Takkal</w:t>
      </w:r>
      <w:proofErr w:type="spellEnd"/>
      <w:r w:rsidRPr="00B569B5">
        <w:rPr>
          <w:rFonts w:asciiTheme="majorHAnsi" w:hAnsiTheme="majorHAnsi"/>
          <w:i/>
        </w:rPr>
        <w:t xml:space="preserve"> </w:t>
      </w:r>
      <w:r>
        <w:rPr>
          <w:rFonts w:asciiTheme="majorHAnsi" w:hAnsiTheme="majorHAnsi"/>
        </w:rPr>
        <w:t>provient principalement de trois prêts consentis</w:t>
      </w:r>
      <w:r w:rsidRPr="007A711E">
        <w:rPr>
          <w:rFonts w:asciiTheme="majorHAnsi" w:hAnsiTheme="majorHAnsi"/>
        </w:rPr>
        <w:t xml:space="preserve"> </w:t>
      </w:r>
      <w:r w:rsidR="00B569B5">
        <w:rPr>
          <w:rFonts w:asciiTheme="majorHAnsi" w:hAnsiTheme="majorHAnsi"/>
        </w:rPr>
        <w:t>par : (i) la</w:t>
      </w:r>
      <w:r w:rsidRPr="007A711E">
        <w:rPr>
          <w:rFonts w:asciiTheme="majorHAnsi" w:hAnsiTheme="majorHAnsi"/>
        </w:rPr>
        <w:t xml:space="preserve"> United Bank of </w:t>
      </w:r>
      <w:proofErr w:type="spellStart"/>
      <w:r w:rsidRPr="007A711E">
        <w:rPr>
          <w:rFonts w:asciiTheme="majorHAnsi" w:hAnsiTheme="majorHAnsi"/>
        </w:rPr>
        <w:t>Africa</w:t>
      </w:r>
      <w:proofErr w:type="spellEnd"/>
      <w:r w:rsidRPr="007A711E">
        <w:rPr>
          <w:rFonts w:asciiTheme="majorHAnsi" w:hAnsiTheme="majorHAnsi"/>
        </w:rPr>
        <w:t xml:space="preserve"> </w:t>
      </w:r>
      <w:r>
        <w:rPr>
          <w:rFonts w:asciiTheme="majorHAnsi" w:hAnsiTheme="majorHAnsi"/>
        </w:rPr>
        <w:t xml:space="preserve">pour un montant d’environ 135 milliards de </w:t>
      </w:r>
      <w:proofErr w:type="spellStart"/>
      <w:r>
        <w:rPr>
          <w:rFonts w:asciiTheme="majorHAnsi" w:hAnsiTheme="majorHAnsi"/>
        </w:rPr>
        <w:t>fcfa</w:t>
      </w:r>
      <w:proofErr w:type="spellEnd"/>
      <w:r>
        <w:rPr>
          <w:rFonts w:asciiTheme="majorHAnsi" w:hAnsiTheme="majorHAnsi"/>
        </w:rPr>
        <w:t xml:space="preserve"> visant à</w:t>
      </w:r>
      <w:r w:rsidRPr="007A711E">
        <w:rPr>
          <w:rFonts w:asciiTheme="majorHAnsi" w:hAnsiTheme="majorHAnsi"/>
        </w:rPr>
        <w:t xml:space="preserve"> financer</w:t>
      </w:r>
      <w:r>
        <w:rPr>
          <w:rFonts w:asciiTheme="majorHAnsi" w:hAnsiTheme="majorHAnsi"/>
        </w:rPr>
        <w:t xml:space="preserve"> l'achat de pétrole par la SAR –sous le contrôle du groupe Bin Laden-</w:t>
      </w:r>
      <w:r w:rsidRPr="007A711E">
        <w:rPr>
          <w:rFonts w:asciiTheme="majorHAnsi" w:hAnsiTheme="majorHAnsi"/>
        </w:rPr>
        <w:t xml:space="preserve"> qui est en phase de renouveler sa capacité d'alimenter les nouveaux géné</w:t>
      </w:r>
      <w:r>
        <w:rPr>
          <w:rFonts w:asciiTheme="majorHAnsi" w:hAnsiTheme="majorHAnsi"/>
        </w:rPr>
        <w:t xml:space="preserve">rateurs en diesel de la SENELEC ; (ii) La Banque Islamique de Développement pour un montant de 43 milliards de </w:t>
      </w:r>
      <w:proofErr w:type="spellStart"/>
      <w:r>
        <w:rPr>
          <w:rFonts w:asciiTheme="majorHAnsi" w:hAnsiTheme="majorHAnsi"/>
        </w:rPr>
        <w:t>fcfa</w:t>
      </w:r>
      <w:proofErr w:type="spellEnd"/>
      <w:r>
        <w:rPr>
          <w:rFonts w:asciiTheme="majorHAnsi" w:hAnsiTheme="majorHAnsi"/>
        </w:rPr>
        <w:t xml:space="preserve"> </w:t>
      </w:r>
      <w:r w:rsidRPr="007A711E">
        <w:rPr>
          <w:rFonts w:asciiTheme="majorHAnsi" w:hAnsiTheme="majorHAnsi"/>
        </w:rPr>
        <w:t xml:space="preserve">pour financer une unité de </w:t>
      </w:r>
      <w:r>
        <w:rPr>
          <w:rFonts w:asciiTheme="majorHAnsi" w:hAnsiTheme="majorHAnsi"/>
        </w:rPr>
        <w:t xml:space="preserve">production de </w:t>
      </w:r>
      <w:r w:rsidRPr="007A711E">
        <w:rPr>
          <w:rFonts w:asciiTheme="majorHAnsi" w:hAnsiTheme="majorHAnsi"/>
        </w:rPr>
        <w:t xml:space="preserve">70mw pour </w:t>
      </w:r>
      <w:r>
        <w:rPr>
          <w:rFonts w:asciiTheme="majorHAnsi" w:hAnsiTheme="majorHAnsi"/>
        </w:rPr>
        <w:t xml:space="preserve">alimenter </w:t>
      </w:r>
      <w:r w:rsidRPr="007A711E">
        <w:rPr>
          <w:rFonts w:asciiTheme="majorHAnsi" w:hAnsiTheme="majorHAnsi"/>
        </w:rPr>
        <w:t>Dakar</w:t>
      </w:r>
      <w:r>
        <w:rPr>
          <w:rFonts w:asciiTheme="majorHAnsi" w:hAnsiTheme="majorHAnsi"/>
        </w:rPr>
        <w:t xml:space="preserve"> ; et enfin (iii) la Banque Ouest Africaine de Développement (BOAD) pour environ 57 milliards de </w:t>
      </w:r>
      <w:proofErr w:type="spellStart"/>
      <w:r>
        <w:rPr>
          <w:rFonts w:asciiTheme="majorHAnsi" w:hAnsiTheme="majorHAnsi"/>
        </w:rPr>
        <w:t>fcfa</w:t>
      </w:r>
      <w:proofErr w:type="spellEnd"/>
      <w:r>
        <w:rPr>
          <w:rFonts w:asciiTheme="majorHAnsi" w:hAnsiTheme="majorHAnsi"/>
        </w:rPr>
        <w:t xml:space="preserve"> pour renouveler l</w:t>
      </w:r>
      <w:r w:rsidRPr="007A711E">
        <w:rPr>
          <w:rFonts w:asciiTheme="majorHAnsi" w:hAnsiTheme="majorHAnsi"/>
        </w:rPr>
        <w:t>e réseau électrique vétuste</w:t>
      </w:r>
      <w:r>
        <w:rPr>
          <w:rFonts w:asciiTheme="majorHAnsi" w:hAnsiTheme="majorHAnsi"/>
        </w:rPr>
        <w:t>.</w:t>
      </w:r>
    </w:p>
    <w:p w:rsidR="00EA188E" w:rsidRPr="007A711E" w:rsidRDefault="00EA188E">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56B2"/>
    <w:multiLevelType w:val="hybridMultilevel"/>
    <w:tmpl w:val="F552E2AE"/>
    <w:lvl w:ilvl="0" w:tplc="5F7A57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111475"/>
    <w:multiLevelType w:val="hybridMultilevel"/>
    <w:tmpl w:val="2C10B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1"/>
    <w:footnote w:id="0"/>
  </w:footnotePr>
  <w:endnotePr>
    <w:endnote w:id="-1"/>
    <w:endnote w:id="0"/>
  </w:endnotePr>
  <w:compat/>
  <w:rsids>
    <w:rsidRoot w:val="00D81FDC"/>
    <w:rsid w:val="000025C7"/>
    <w:rsid w:val="00002E6A"/>
    <w:rsid w:val="000046D8"/>
    <w:rsid w:val="00006063"/>
    <w:rsid w:val="00006DEE"/>
    <w:rsid w:val="000108D9"/>
    <w:rsid w:val="000113BF"/>
    <w:rsid w:val="00012200"/>
    <w:rsid w:val="000130F4"/>
    <w:rsid w:val="000132A2"/>
    <w:rsid w:val="00013AB3"/>
    <w:rsid w:val="0001404D"/>
    <w:rsid w:val="00014251"/>
    <w:rsid w:val="0001458F"/>
    <w:rsid w:val="00014821"/>
    <w:rsid w:val="00015166"/>
    <w:rsid w:val="0001620B"/>
    <w:rsid w:val="00016923"/>
    <w:rsid w:val="000178CD"/>
    <w:rsid w:val="000179AB"/>
    <w:rsid w:val="00020E75"/>
    <w:rsid w:val="00021021"/>
    <w:rsid w:val="000217F1"/>
    <w:rsid w:val="0002338F"/>
    <w:rsid w:val="00023A13"/>
    <w:rsid w:val="000241C1"/>
    <w:rsid w:val="00025365"/>
    <w:rsid w:val="00025816"/>
    <w:rsid w:val="00025C0E"/>
    <w:rsid w:val="00026DFB"/>
    <w:rsid w:val="000270E3"/>
    <w:rsid w:val="00030215"/>
    <w:rsid w:val="000306BD"/>
    <w:rsid w:val="000309F4"/>
    <w:rsid w:val="00031C52"/>
    <w:rsid w:val="00032346"/>
    <w:rsid w:val="00034B40"/>
    <w:rsid w:val="00034DED"/>
    <w:rsid w:val="00035325"/>
    <w:rsid w:val="00035926"/>
    <w:rsid w:val="00035A36"/>
    <w:rsid w:val="00036559"/>
    <w:rsid w:val="00036CA5"/>
    <w:rsid w:val="00040B97"/>
    <w:rsid w:val="00040EF3"/>
    <w:rsid w:val="000412C3"/>
    <w:rsid w:val="00041D58"/>
    <w:rsid w:val="00043F72"/>
    <w:rsid w:val="000443E1"/>
    <w:rsid w:val="00045F0B"/>
    <w:rsid w:val="0004615C"/>
    <w:rsid w:val="000462D4"/>
    <w:rsid w:val="00046689"/>
    <w:rsid w:val="0004684C"/>
    <w:rsid w:val="00050388"/>
    <w:rsid w:val="00050836"/>
    <w:rsid w:val="00050AE9"/>
    <w:rsid w:val="00052D98"/>
    <w:rsid w:val="00053023"/>
    <w:rsid w:val="000557C7"/>
    <w:rsid w:val="00056068"/>
    <w:rsid w:val="00056A09"/>
    <w:rsid w:val="00056B01"/>
    <w:rsid w:val="000578BF"/>
    <w:rsid w:val="0006012F"/>
    <w:rsid w:val="000614F4"/>
    <w:rsid w:val="000628DC"/>
    <w:rsid w:val="000649F4"/>
    <w:rsid w:val="00064FF4"/>
    <w:rsid w:val="00065DD3"/>
    <w:rsid w:val="00066145"/>
    <w:rsid w:val="00066795"/>
    <w:rsid w:val="00066C70"/>
    <w:rsid w:val="00067B88"/>
    <w:rsid w:val="000708B8"/>
    <w:rsid w:val="00070E05"/>
    <w:rsid w:val="00070F41"/>
    <w:rsid w:val="0007183A"/>
    <w:rsid w:val="00074304"/>
    <w:rsid w:val="00074D2D"/>
    <w:rsid w:val="00075B80"/>
    <w:rsid w:val="0007613F"/>
    <w:rsid w:val="00076590"/>
    <w:rsid w:val="00076CF8"/>
    <w:rsid w:val="00081C37"/>
    <w:rsid w:val="000821F3"/>
    <w:rsid w:val="00083149"/>
    <w:rsid w:val="00083192"/>
    <w:rsid w:val="000839A4"/>
    <w:rsid w:val="0008466D"/>
    <w:rsid w:val="00084812"/>
    <w:rsid w:val="00085262"/>
    <w:rsid w:val="00085A8A"/>
    <w:rsid w:val="00086596"/>
    <w:rsid w:val="00087E67"/>
    <w:rsid w:val="0009058D"/>
    <w:rsid w:val="00091CFD"/>
    <w:rsid w:val="00092D41"/>
    <w:rsid w:val="000968B1"/>
    <w:rsid w:val="000969F8"/>
    <w:rsid w:val="000977DD"/>
    <w:rsid w:val="00097B56"/>
    <w:rsid w:val="000A004B"/>
    <w:rsid w:val="000A05BD"/>
    <w:rsid w:val="000A17B9"/>
    <w:rsid w:val="000A24EA"/>
    <w:rsid w:val="000A29D2"/>
    <w:rsid w:val="000A2D52"/>
    <w:rsid w:val="000A3E78"/>
    <w:rsid w:val="000A46B0"/>
    <w:rsid w:val="000A4987"/>
    <w:rsid w:val="000A49F4"/>
    <w:rsid w:val="000A4C88"/>
    <w:rsid w:val="000A5639"/>
    <w:rsid w:val="000A5999"/>
    <w:rsid w:val="000A5BA4"/>
    <w:rsid w:val="000A5CD8"/>
    <w:rsid w:val="000A79E0"/>
    <w:rsid w:val="000B0607"/>
    <w:rsid w:val="000B1DAC"/>
    <w:rsid w:val="000B3E7F"/>
    <w:rsid w:val="000B4099"/>
    <w:rsid w:val="000B4FB7"/>
    <w:rsid w:val="000B5E92"/>
    <w:rsid w:val="000B7B39"/>
    <w:rsid w:val="000C033D"/>
    <w:rsid w:val="000C0D62"/>
    <w:rsid w:val="000C1107"/>
    <w:rsid w:val="000C1D81"/>
    <w:rsid w:val="000C4CDD"/>
    <w:rsid w:val="000C4FD5"/>
    <w:rsid w:val="000C634B"/>
    <w:rsid w:val="000C7116"/>
    <w:rsid w:val="000C71E2"/>
    <w:rsid w:val="000D0D90"/>
    <w:rsid w:val="000D1146"/>
    <w:rsid w:val="000D176D"/>
    <w:rsid w:val="000D2D4A"/>
    <w:rsid w:val="000D4169"/>
    <w:rsid w:val="000D44DB"/>
    <w:rsid w:val="000D48B8"/>
    <w:rsid w:val="000D48E3"/>
    <w:rsid w:val="000D499C"/>
    <w:rsid w:val="000D4D8D"/>
    <w:rsid w:val="000D4EFE"/>
    <w:rsid w:val="000D5B1A"/>
    <w:rsid w:val="000D6521"/>
    <w:rsid w:val="000D7062"/>
    <w:rsid w:val="000E05D4"/>
    <w:rsid w:val="000E0971"/>
    <w:rsid w:val="000E1463"/>
    <w:rsid w:val="000E3290"/>
    <w:rsid w:val="000E467F"/>
    <w:rsid w:val="000E544F"/>
    <w:rsid w:val="000E556C"/>
    <w:rsid w:val="000E5C92"/>
    <w:rsid w:val="000E5ED4"/>
    <w:rsid w:val="000E61C7"/>
    <w:rsid w:val="000E65F2"/>
    <w:rsid w:val="000E69B3"/>
    <w:rsid w:val="000F0B25"/>
    <w:rsid w:val="000F20C8"/>
    <w:rsid w:val="000F3031"/>
    <w:rsid w:val="000F3378"/>
    <w:rsid w:val="000F3467"/>
    <w:rsid w:val="000F35EE"/>
    <w:rsid w:val="000F36F0"/>
    <w:rsid w:val="000F469E"/>
    <w:rsid w:val="000F58CB"/>
    <w:rsid w:val="000F5CB2"/>
    <w:rsid w:val="000F6134"/>
    <w:rsid w:val="000F7537"/>
    <w:rsid w:val="000F7C84"/>
    <w:rsid w:val="00100397"/>
    <w:rsid w:val="00100740"/>
    <w:rsid w:val="001010D6"/>
    <w:rsid w:val="00101B4C"/>
    <w:rsid w:val="00102F7D"/>
    <w:rsid w:val="001032F7"/>
    <w:rsid w:val="0010592A"/>
    <w:rsid w:val="001059D8"/>
    <w:rsid w:val="00105EB7"/>
    <w:rsid w:val="00107EE1"/>
    <w:rsid w:val="0011041D"/>
    <w:rsid w:val="00110ABC"/>
    <w:rsid w:val="001113FF"/>
    <w:rsid w:val="00111A7D"/>
    <w:rsid w:val="0011241C"/>
    <w:rsid w:val="001129D8"/>
    <w:rsid w:val="00112CE7"/>
    <w:rsid w:val="00114662"/>
    <w:rsid w:val="00114FD0"/>
    <w:rsid w:val="00115226"/>
    <w:rsid w:val="00115746"/>
    <w:rsid w:val="00116B63"/>
    <w:rsid w:val="00117346"/>
    <w:rsid w:val="0012004C"/>
    <w:rsid w:val="0012048C"/>
    <w:rsid w:val="00120D56"/>
    <w:rsid w:val="001211FE"/>
    <w:rsid w:val="0012290E"/>
    <w:rsid w:val="00122D3B"/>
    <w:rsid w:val="0012602D"/>
    <w:rsid w:val="001263BB"/>
    <w:rsid w:val="001263EE"/>
    <w:rsid w:val="001278D7"/>
    <w:rsid w:val="00130AB8"/>
    <w:rsid w:val="0013157D"/>
    <w:rsid w:val="00131A06"/>
    <w:rsid w:val="00131A4C"/>
    <w:rsid w:val="00131D20"/>
    <w:rsid w:val="00133C97"/>
    <w:rsid w:val="00134B07"/>
    <w:rsid w:val="00135490"/>
    <w:rsid w:val="00136DD4"/>
    <w:rsid w:val="00136F68"/>
    <w:rsid w:val="0013708D"/>
    <w:rsid w:val="001378A1"/>
    <w:rsid w:val="0014059B"/>
    <w:rsid w:val="001408CD"/>
    <w:rsid w:val="0014095F"/>
    <w:rsid w:val="001411E1"/>
    <w:rsid w:val="001413C2"/>
    <w:rsid w:val="00142116"/>
    <w:rsid w:val="001422B9"/>
    <w:rsid w:val="001432B9"/>
    <w:rsid w:val="00143378"/>
    <w:rsid w:val="0014486E"/>
    <w:rsid w:val="00144CD7"/>
    <w:rsid w:val="0014759A"/>
    <w:rsid w:val="00147F31"/>
    <w:rsid w:val="00150CE7"/>
    <w:rsid w:val="00153FA1"/>
    <w:rsid w:val="0015666A"/>
    <w:rsid w:val="00156C90"/>
    <w:rsid w:val="00157047"/>
    <w:rsid w:val="00157A68"/>
    <w:rsid w:val="00157FEB"/>
    <w:rsid w:val="001601D1"/>
    <w:rsid w:val="0016071E"/>
    <w:rsid w:val="0016103A"/>
    <w:rsid w:val="00162ECD"/>
    <w:rsid w:val="00163930"/>
    <w:rsid w:val="00163DA1"/>
    <w:rsid w:val="00163F31"/>
    <w:rsid w:val="00164C23"/>
    <w:rsid w:val="0016510E"/>
    <w:rsid w:val="001657A0"/>
    <w:rsid w:val="00165DDA"/>
    <w:rsid w:val="00167032"/>
    <w:rsid w:val="00167F48"/>
    <w:rsid w:val="001700F1"/>
    <w:rsid w:val="00170102"/>
    <w:rsid w:val="00170A28"/>
    <w:rsid w:val="001735AF"/>
    <w:rsid w:val="00173799"/>
    <w:rsid w:val="001760B7"/>
    <w:rsid w:val="00176390"/>
    <w:rsid w:val="00180026"/>
    <w:rsid w:val="00180325"/>
    <w:rsid w:val="001808A8"/>
    <w:rsid w:val="00181A82"/>
    <w:rsid w:val="00181B2C"/>
    <w:rsid w:val="001850B3"/>
    <w:rsid w:val="0018536D"/>
    <w:rsid w:val="0018537F"/>
    <w:rsid w:val="00185E3F"/>
    <w:rsid w:val="00185E84"/>
    <w:rsid w:val="001866B3"/>
    <w:rsid w:val="00187541"/>
    <w:rsid w:val="001878CF"/>
    <w:rsid w:val="0019002F"/>
    <w:rsid w:val="00190875"/>
    <w:rsid w:val="00193F0E"/>
    <w:rsid w:val="00195218"/>
    <w:rsid w:val="001A12B2"/>
    <w:rsid w:val="001A19E2"/>
    <w:rsid w:val="001A215B"/>
    <w:rsid w:val="001A5B4B"/>
    <w:rsid w:val="001A5C0B"/>
    <w:rsid w:val="001A64FE"/>
    <w:rsid w:val="001A6DB0"/>
    <w:rsid w:val="001A6E9F"/>
    <w:rsid w:val="001A6EF7"/>
    <w:rsid w:val="001A7214"/>
    <w:rsid w:val="001B0B90"/>
    <w:rsid w:val="001B2D3F"/>
    <w:rsid w:val="001B2D49"/>
    <w:rsid w:val="001B3073"/>
    <w:rsid w:val="001B3ADB"/>
    <w:rsid w:val="001B3ED5"/>
    <w:rsid w:val="001B43D3"/>
    <w:rsid w:val="001B588E"/>
    <w:rsid w:val="001B5FEB"/>
    <w:rsid w:val="001B6443"/>
    <w:rsid w:val="001B66C8"/>
    <w:rsid w:val="001B6A8B"/>
    <w:rsid w:val="001B7656"/>
    <w:rsid w:val="001B7BCD"/>
    <w:rsid w:val="001C02B7"/>
    <w:rsid w:val="001C0995"/>
    <w:rsid w:val="001C1285"/>
    <w:rsid w:val="001C1F73"/>
    <w:rsid w:val="001C1FF7"/>
    <w:rsid w:val="001C2028"/>
    <w:rsid w:val="001C387E"/>
    <w:rsid w:val="001C39AD"/>
    <w:rsid w:val="001C40B6"/>
    <w:rsid w:val="001C484B"/>
    <w:rsid w:val="001C4FAD"/>
    <w:rsid w:val="001C6A4C"/>
    <w:rsid w:val="001C6FD6"/>
    <w:rsid w:val="001C7038"/>
    <w:rsid w:val="001C73B4"/>
    <w:rsid w:val="001C79B2"/>
    <w:rsid w:val="001C7A79"/>
    <w:rsid w:val="001D0A1D"/>
    <w:rsid w:val="001D0BA0"/>
    <w:rsid w:val="001D279C"/>
    <w:rsid w:val="001D3AFD"/>
    <w:rsid w:val="001D3F6D"/>
    <w:rsid w:val="001D507E"/>
    <w:rsid w:val="001D5ADD"/>
    <w:rsid w:val="001D738B"/>
    <w:rsid w:val="001E0BB0"/>
    <w:rsid w:val="001E1843"/>
    <w:rsid w:val="001E4C2B"/>
    <w:rsid w:val="001E5C16"/>
    <w:rsid w:val="001E740F"/>
    <w:rsid w:val="001F0C71"/>
    <w:rsid w:val="001F1422"/>
    <w:rsid w:val="001F2F5E"/>
    <w:rsid w:val="001F46C8"/>
    <w:rsid w:val="001F64F1"/>
    <w:rsid w:val="001F6C4F"/>
    <w:rsid w:val="001F7734"/>
    <w:rsid w:val="00200E58"/>
    <w:rsid w:val="00200EC3"/>
    <w:rsid w:val="00201A6A"/>
    <w:rsid w:val="00201E0D"/>
    <w:rsid w:val="002025BF"/>
    <w:rsid w:val="002051CD"/>
    <w:rsid w:val="00206556"/>
    <w:rsid w:val="00207AF3"/>
    <w:rsid w:val="00210052"/>
    <w:rsid w:val="002118D2"/>
    <w:rsid w:val="00211E0B"/>
    <w:rsid w:val="00212BE3"/>
    <w:rsid w:val="0021342B"/>
    <w:rsid w:val="002138F7"/>
    <w:rsid w:val="00214875"/>
    <w:rsid w:val="00214935"/>
    <w:rsid w:val="002151EA"/>
    <w:rsid w:val="00215B9A"/>
    <w:rsid w:val="00215D8E"/>
    <w:rsid w:val="00216975"/>
    <w:rsid w:val="00220A07"/>
    <w:rsid w:val="0022118A"/>
    <w:rsid w:val="002219C6"/>
    <w:rsid w:val="002237CF"/>
    <w:rsid w:val="00223FEF"/>
    <w:rsid w:val="00224A0C"/>
    <w:rsid w:val="002259B0"/>
    <w:rsid w:val="0022701F"/>
    <w:rsid w:val="00227A5A"/>
    <w:rsid w:val="0023145F"/>
    <w:rsid w:val="002329D9"/>
    <w:rsid w:val="00232CF1"/>
    <w:rsid w:val="00232F90"/>
    <w:rsid w:val="00233161"/>
    <w:rsid w:val="00233322"/>
    <w:rsid w:val="00235201"/>
    <w:rsid w:val="0023700B"/>
    <w:rsid w:val="002370CB"/>
    <w:rsid w:val="00240AFF"/>
    <w:rsid w:val="00240BB3"/>
    <w:rsid w:val="00240F6A"/>
    <w:rsid w:val="00242143"/>
    <w:rsid w:val="0024339F"/>
    <w:rsid w:val="002448B6"/>
    <w:rsid w:val="00245447"/>
    <w:rsid w:val="002467A2"/>
    <w:rsid w:val="00246CA3"/>
    <w:rsid w:val="00247DC6"/>
    <w:rsid w:val="00250193"/>
    <w:rsid w:val="00250365"/>
    <w:rsid w:val="002506F9"/>
    <w:rsid w:val="00252436"/>
    <w:rsid w:val="002537C9"/>
    <w:rsid w:val="00254002"/>
    <w:rsid w:val="002547D0"/>
    <w:rsid w:val="00254B4B"/>
    <w:rsid w:val="00255275"/>
    <w:rsid w:val="00255595"/>
    <w:rsid w:val="00255907"/>
    <w:rsid w:val="002560CB"/>
    <w:rsid w:val="002563BF"/>
    <w:rsid w:val="00256636"/>
    <w:rsid w:val="0025668C"/>
    <w:rsid w:val="002610A0"/>
    <w:rsid w:val="0026165A"/>
    <w:rsid w:val="00261EED"/>
    <w:rsid w:val="00262FDD"/>
    <w:rsid w:val="00263784"/>
    <w:rsid w:val="00263E52"/>
    <w:rsid w:val="00265A65"/>
    <w:rsid w:val="00266423"/>
    <w:rsid w:val="00266ED3"/>
    <w:rsid w:val="002675A8"/>
    <w:rsid w:val="00271849"/>
    <w:rsid w:val="00271B75"/>
    <w:rsid w:val="002738B4"/>
    <w:rsid w:val="002743DA"/>
    <w:rsid w:val="00274AC3"/>
    <w:rsid w:val="00274BB4"/>
    <w:rsid w:val="00274DCF"/>
    <w:rsid w:val="00275925"/>
    <w:rsid w:val="00275DF1"/>
    <w:rsid w:val="002777F4"/>
    <w:rsid w:val="002806CB"/>
    <w:rsid w:val="002814B0"/>
    <w:rsid w:val="0028251E"/>
    <w:rsid w:val="0028274A"/>
    <w:rsid w:val="002830E0"/>
    <w:rsid w:val="00283198"/>
    <w:rsid w:val="002844CA"/>
    <w:rsid w:val="002845FB"/>
    <w:rsid w:val="00285256"/>
    <w:rsid w:val="002860AF"/>
    <w:rsid w:val="0028739E"/>
    <w:rsid w:val="00290A98"/>
    <w:rsid w:val="00290D8C"/>
    <w:rsid w:val="002927ED"/>
    <w:rsid w:val="00292B48"/>
    <w:rsid w:val="00292C6F"/>
    <w:rsid w:val="002957E7"/>
    <w:rsid w:val="0029593E"/>
    <w:rsid w:val="00296D40"/>
    <w:rsid w:val="00297E32"/>
    <w:rsid w:val="00297E60"/>
    <w:rsid w:val="002A0AF9"/>
    <w:rsid w:val="002A0B37"/>
    <w:rsid w:val="002A0B42"/>
    <w:rsid w:val="002A1373"/>
    <w:rsid w:val="002A1607"/>
    <w:rsid w:val="002A1812"/>
    <w:rsid w:val="002A3E98"/>
    <w:rsid w:val="002A53FD"/>
    <w:rsid w:val="002A60A9"/>
    <w:rsid w:val="002A6B4C"/>
    <w:rsid w:val="002A7903"/>
    <w:rsid w:val="002B0BB1"/>
    <w:rsid w:val="002B1152"/>
    <w:rsid w:val="002B36C1"/>
    <w:rsid w:val="002B3F5F"/>
    <w:rsid w:val="002B4303"/>
    <w:rsid w:val="002B497D"/>
    <w:rsid w:val="002B65DD"/>
    <w:rsid w:val="002B6D43"/>
    <w:rsid w:val="002B7029"/>
    <w:rsid w:val="002B75FB"/>
    <w:rsid w:val="002B7900"/>
    <w:rsid w:val="002C0EEA"/>
    <w:rsid w:val="002C1921"/>
    <w:rsid w:val="002C2D54"/>
    <w:rsid w:val="002C55D4"/>
    <w:rsid w:val="002C6AC1"/>
    <w:rsid w:val="002D0D92"/>
    <w:rsid w:val="002D1507"/>
    <w:rsid w:val="002D191C"/>
    <w:rsid w:val="002D2F1F"/>
    <w:rsid w:val="002D3696"/>
    <w:rsid w:val="002D519D"/>
    <w:rsid w:val="002D6C3D"/>
    <w:rsid w:val="002E0924"/>
    <w:rsid w:val="002E0A47"/>
    <w:rsid w:val="002E0B70"/>
    <w:rsid w:val="002E0E92"/>
    <w:rsid w:val="002E2C8D"/>
    <w:rsid w:val="002E2EA1"/>
    <w:rsid w:val="002E4223"/>
    <w:rsid w:val="002E5F67"/>
    <w:rsid w:val="002E68BB"/>
    <w:rsid w:val="002E68D3"/>
    <w:rsid w:val="002F11BA"/>
    <w:rsid w:val="002F1695"/>
    <w:rsid w:val="002F1E36"/>
    <w:rsid w:val="002F47F7"/>
    <w:rsid w:val="002F664A"/>
    <w:rsid w:val="002F66BF"/>
    <w:rsid w:val="002F79A7"/>
    <w:rsid w:val="003003E1"/>
    <w:rsid w:val="003006AF"/>
    <w:rsid w:val="00302B00"/>
    <w:rsid w:val="00303173"/>
    <w:rsid w:val="0030398E"/>
    <w:rsid w:val="00303C45"/>
    <w:rsid w:val="003046DC"/>
    <w:rsid w:val="00304D47"/>
    <w:rsid w:val="00304F17"/>
    <w:rsid w:val="00304FAD"/>
    <w:rsid w:val="00305F4B"/>
    <w:rsid w:val="00307285"/>
    <w:rsid w:val="003076B3"/>
    <w:rsid w:val="00310127"/>
    <w:rsid w:val="0031096C"/>
    <w:rsid w:val="00310BC6"/>
    <w:rsid w:val="003118DD"/>
    <w:rsid w:val="0031342F"/>
    <w:rsid w:val="003137D2"/>
    <w:rsid w:val="00313D79"/>
    <w:rsid w:val="003141AA"/>
    <w:rsid w:val="00314481"/>
    <w:rsid w:val="00314A9A"/>
    <w:rsid w:val="0031579F"/>
    <w:rsid w:val="00315BFC"/>
    <w:rsid w:val="003165C1"/>
    <w:rsid w:val="00316EA4"/>
    <w:rsid w:val="00320DB5"/>
    <w:rsid w:val="003214D4"/>
    <w:rsid w:val="00321A75"/>
    <w:rsid w:val="00321C2E"/>
    <w:rsid w:val="0032232B"/>
    <w:rsid w:val="003223ED"/>
    <w:rsid w:val="0032364F"/>
    <w:rsid w:val="00324EAD"/>
    <w:rsid w:val="00325151"/>
    <w:rsid w:val="0032556C"/>
    <w:rsid w:val="00325D27"/>
    <w:rsid w:val="00326868"/>
    <w:rsid w:val="00326B82"/>
    <w:rsid w:val="00330006"/>
    <w:rsid w:val="00332219"/>
    <w:rsid w:val="003325F1"/>
    <w:rsid w:val="0033262F"/>
    <w:rsid w:val="00333E06"/>
    <w:rsid w:val="00333F78"/>
    <w:rsid w:val="00334F53"/>
    <w:rsid w:val="0033504E"/>
    <w:rsid w:val="003352E0"/>
    <w:rsid w:val="0033563B"/>
    <w:rsid w:val="0033566F"/>
    <w:rsid w:val="00335905"/>
    <w:rsid w:val="00335B24"/>
    <w:rsid w:val="00337466"/>
    <w:rsid w:val="00337F0A"/>
    <w:rsid w:val="003416CB"/>
    <w:rsid w:val="0034348B"/>
    <w:rsid w:val="00343931"/>
    <w:rsid w:val="00343A60"/>
    <w:rsid w:val="0034427C"/>
    <w:rsid w:val="00346522"/>
    <w:rsid w:val="0035007C"/>
    <w:rsid w:val="00350265"/>
    <w:rsid w:val="00350F2E"/>
    <w:rsid w:val="00351D6A"/>
    <w:rsid w:val="00352245"/>
    <w:rsid w:val="00352950"/>
    <w:rsid w:val="003529BB"/>
    <w:rsid w:val="00353BD3"/>
    <w:rsid w:val="00354022"/>
    <w:rsid w:val="00354DC9"/>
    <w:rsid w:val="00355A0E"/>
    <w:rsid w:val="00356835"/>
    <w:rsid w:val="00356B3E"/>
    <w:rsid w:val="00356F0A"/>
    <w:rsid w:val="003572BF"/>
    <w:rsid w:val="00362590"/>
    <w:rsid w:val="00362A27"/>
    <w:rsid w:val="00364FC6"/>
    <w:rsid w:val="003650EF"/>
    <w:rsid w:val="003662D2"/>
    <w:rsid w:val="00366EB9"/>
    <w:rsid w:val="00367B32"/>
    <w:rsid w:val="003702F0"/>
    <w:rsid w:val="00370318"/>
    <w:rsid w:val="0037057A"/>
    <w:rsid w:val="00370BC7"/>
    <w:rsid w:val="00370D9C"/>
    <w:rsid w:val="00370F1F"/>
    <w:rsid w:val="003712EE"/>
    <w:rsid w:val="00371A4E"/>
    <w:rsid w:val="00371D6C"/>
    <w:rsid w:val="003720DD"/>
    <w:rsid w:val="003728E5"/>
    <w:rsid w:val="003742BE"/>
    <w:rsid w:val="003749E3"/>
    <w:rsid w:val="00374F63"/>
    <w:rsid w:val="00375656"/>
    <w:rsid w:val="0037688C"/>
    <w:rsid w:val="00376B25"/>
    <w:rsid w:val="00380F9C"/>
    <w:rsid w:val="00382899"/>
    <w:rsid w:val="00383DF4"/>
    <w:rsid w:val="00384F35"/>
    <w:rsid w:val="003851B9"/>
    <w:rsid w:val="00386174"/>
    <w:rsid w:val="0038673D"/>
    <w:rsid w:val="0038730E"/>
    <w:rsid w:val="003909BF"/>
    <w:rsid w:val="00391911"/>
    <w:rsid w:val="00391C9A"/>
    <w:rsid w:val="003922D9"/>
    <w:rsid w:val="00392735"/>
    <w:rsid w:val="0039283A"/>
    <w:rsid w:val="003936FD"/>
    <w:rsid w:val="00393EE9"/>
    <w:rsid w:val="003947A8"/>
    <w:rsid w:val="00395690"/>
    <w:rsid w:val="00396B10"/>
    <w:rsid w:val="00397ACD"/>
    <w:rsid w:val="003A00E6"/>
    <w:rsid w:val="003A048F"/>
    <w:rsid w:val="003A0EAA"/>
    <w:rsid w:val="003A0FBF"/>
    <w:rsid w:val="003A2D3C"/>
    <w:rsid w:val="003A309A"/>
    <w:rsid w:val="003A451E"/>
    <w:rsid w:val="003A5A58"/>
    <w:rsid w:val="003A7374"/>
    <w:rsid w:val="003A7D20"/>
    <w:rsid w:val="003B0BC1"/>
    <w:rsid w:val="003B1650"/>
    <w:rsid w:val="003B16D3"/>
    <w:rsid w:val="003B2606"/>
    <w:rsid w:val="003B3645"/>
    <w:rsid w:val="003B3DCF"/>
    <w:rsid w:val="003B462F"/>
    <w:rsid w:val="003B4859"/>
    <w:rsid w:val="003B4AD2"/>
    <w:rsid w:val="003B4B5C"/>
    <w:rsid w:val="003B607C"/>
    <w:rsid w:val="003C137C"/>
    <w:rsid w:val="003C19A9"/>
    <w:rsid w:val="003C2735"/>
    <w:rsid w:val="003C2EFA"/>
    <w:rsid w:val="003C301C"/>
    <w:rsid w:val="003C33E4"/>
    <w:rsid w:val="003C3638"/>
    <w:rsid w:val="003C400B"/>
    <w:rsid w:val="003C548A"/>
    <w:rsid w:val="003C6747"/>
    <w:rsid w:val="003C6C45"/>
    <w:rsid w:val="003C6F77"/>
    <w:rsid w:val="003C7521"/>
    <w:rsid w:val="003C7678"/>
    <w:rsid w:val="003C78FC"/>
    <w:rsid w:val="003C7E68"/>
    <w:rsid w:val="003D01BE"/>
    <w:rsid w:val="003D078E"/>
    <w:rsid w:val="003D07D7"/>
    <w:rsid w:val="003D2B05"/>
    <w:rsid w:val="003D434F"/>
    <w:rsid w:val="003D5C2A"/>
    <w:rsid w:val="003D65EA"/>
    <w:rsid w:val="003D6A98"/>
    <w:rsid w:val="003E05B6"/>
    <w:rsid w:val="003E1D24"/>
    <w:rsid w:val="003E2A89"/>
    <w:rsid w:val="003E3F2D"/>
    <w:rsid w:val="003E6D5E"/>
    <w:rsid w:val="003F0266"/>
    <w:rsid w:val="003F0C58"/>
    <w:rsid w:val="003F197C"/>
    <w:rsid w:val="003F1A1D"/>
    <w:rsid w:val="003F254E"/>
    <w:rsid w:val="003F3004"/>
    <w:rsid w:val="003F4BC0"/>
    <w:rsid w:val="003F51B3"/>
    <w:rsid w:val="003F55F3"/>
    <w:rsid w:val="003F5B8D"/>
    <w:rsid w:val="003F6497"/>
    <w:rsid w:val="003F6BAD"/>
    <w:rsid w:val="003F7534"/>
    <w:rsid w:val="003F7BBA"/>
    <w:rsid w:val="004005A4"/>
    <w:rsid w:val="00402C2F"/>
    <w:rsid w:val="00402DA0"/>
    <w:rsid w:val="00403458"/>
    <w:rsid w:val="00405517"/>
    <w:rsid w:val="00405B23"/>
    <w:rsid w:val="004060AC"/>
    <w:rsid w:val="004063F0"/>
    <w:rsid w:val="00407952"/>
    <w:rsid w:val="0041047F"/>
    <w:rsid w:val="00410D0D"/>
    <w:rsid w:val="00412485"/>
    <w:rsid w:val="00413F18"/>
    <w:rsid w:val="00416250"/>
    <w:rsid w:val="00417062"/>
    <w:rsid w:val="00417D1B"/>
    <w:rsid w:val="00420960"/>
    <w:rsid w:val="00421001"/>
    <w:rsid w:val="00421C5F"/>
    <w:rsid w:val="00422CAB"/>
    <w:rsid w:val="00422EE2"/>
    <w:rsid w:val="00423E9E"/>
    <w:rsid w:val="0042493E"/>
    <w:rsid w:val="00425294"/>
    <w:rsid w:val="00425483"/>
    <w:rsid w:val="00426817"/>
    <w:rsid w:val="004269EF"/>
    <w:rsid w:val="00427AAF"/>
    <w:rsid w:val="00427BB5"/>
    <w:rsid w:val="00430398"/>
    <w:rsid w:val="004306A7"/>
    <w:rsid w:val="00430EA5"/>
    <w:rsid w:val="004322DF"/>
    <w:rsid w:val="004324BD"/>
    <w:rsid w:val="00432B54"/>
    <w:rsid w:val="00432BB8"/>
    <w:rsid w:val="004335A1"/>
    <w:rsid w:val="00435DD2"/>
    <w:rsid w:val="004370EE"/>
    <w:rsid w:val="0044095B"/>
    <w:rsid w:val="00441A2F"/>
    <w:rsid w:val="00442186"/>
    <w:rsid w:val="00443E94"/>
    <w:rsid w:val="00443EB0"/>
    <w:rsid w:val="004445C2"/>
    <w:rsid w:val="0044519A"/>
    <w:rsid w:val="004472FB"/>
    <w:rsid w:val="00447EA0"/>
    <w:rsid w:val="00450FF4"/>
    <w:rsid w:val="00451172"/>
    <w:rsid w:val="00452506"/>
    <w:rsid w:val="0045391E"/>
    <w:rsid w:val="004556CA"/>
    <w:rsid w:val="00456DD6"/>
    <w:rsid w:val="004571DB"/>
    <w:rsid w:val="0045795A"/>
    <w:rsid w:val="00460C2C"/>
    <w:rsid w:val="00460FE2"/>
    <w:rsid w:val="00461FE1"/>
    <w:rsid w:val="00462AAF"/>
    <w:rsid w:val="00463F0D"/>
    <w:rsid w:val="00464B20"/>
    <w:rsid w:val="00466876"/>
    <w:rsid w:val="00466A31"/>
    <w:rsid w:val="00467128"/>
    <w:rsid w:val="00467AE7"/>
    <w:rsid w:val="00470A46"/>
    <w:rsid w:val="00470E0D"/>
    <w:rsid w:val="004715CC"/>
    <w:rsid w:val="00471913"/>
    <w:rsid w:val="004720EE"/>
    <w:rsid w:val="0047335D"/>
    <w:rsid w:val="00473EDF"/>
    <w:rsid w:val="0047533C"/>
    <w:rsid w:val="004765A9"/>
    <w:rsid w:val="00480336"/>
    <w:rsid w:val="00480B1E"/>
    <w:rsid w:val="00481DE2"/>
    <w:rsid w:val="00481EB5"/>
    <w:rsid w:val="00482525"/>
    <w:rsid w:val="0048693A"/>
    <w:rsid w:val="00486CFB"/>
    <w:rsid w:val="004872A7"/>
    <w:rsid w:val="004902D4"/>
    <w:rsid w:val="00490526"/>
    <w:rsid w:val="00492917"/>
    <w:rsid w:val="00492DF4"/>
    <w:rsid w:val="004933BF"/>
    <w:rsid w:val="00493521"/>
    <w:rsid w:val="00493837"/>
    <w:rsid w:val="00494DE3"/>
    <w:rsid w:val="0049506D"/>
    <w:rsid w:val="00495F04"/>
    <w:rsid w:val="00496978"/>
    <w:rsid w:val="004A0EEA"/>
    <w:rsid w:val="004A1107"/>
    <w:rsid w:val="004A1A23"/>
    <w:rsid w:val="004A20DD"/>
    <w:rsid w:val="004A2F30"/>
    <w:rsid w:val="004A316F"/>
    <w:rsid w:val="004A3BF0"/>
    <w:rsid w:val="004A4120"/>
    <w:rsid w:val="004A4214"/>
    <w:rsid w:val="004A495B"/>
    <w:rsid w:val="004A4E85"/>
    <w:rsid w:val="004A55B5"/>
    <w:rsid w:val="004A5A01"/>
    <w:rsid w:val="004A674F"/>
    <w:rsid w:val="004A6872"/>
    <w:rsid w:val="004B0B88"/>
    <w:rsid w:val="004B1DD5"/>
    <w:rsid w:val="004B1F1A"/>
    <w:rsid w:val="004B311D"/>
    <w:rsid w:val="004B3174"/>
    <w:rsid w:val="004B39A9"/>
    <w:rsid w:val="004B3E37"/>
    <w:rsid w:val="004B48FB"/>
    <w:rsid w:val="004B6AC5"/>
    <w:rsid w:val="004B6DCE"/>
    <w:rsid w:val="004C0234"/>
    <w:rsid w:val="004C05A5"/>
    <w:rsid w:val="004C0A91"/>
    <w:rsid w:val="004C0B11"/>
    <w:rsid w:val="004C14A4"/>
    <w:rsid w:val="004C2269"/>
    <w:rsid w:val="004C30AB"/>
    <w:rsid w:val="004C5225"/>
    <w:rsid w:val="004C6F88"/>
    <w:rsid w:val="004C7096"/>
    <w:rsid w:val="004D23E2"/>
    <w:rsid w:val="004D25B8"/>
    <w:rsid w:val="004D2F1C"/>
    <w:rsid w:val="004D3B32"/>
    <w:rsid w:val="004D4384"/>
    <w:rsid w:val="004D53B6"/>
    <w:rsid w:val="004D5A85"/>
    <w:rsid w:val="004D63E9"/>
    <w:rsid w:val="004D6822"/>
    <w:rsid w:val="004D69AD"/>
    <w:rsid w:val="004D6B11"/>
    <w:rsid w:val="004D6E09"/>
    <w:rsid w:val="004D6E63"/>
    <w:rsid w:val="004D7210"/>
    <w:rsid w:val="004E1452"/>
    <w:rsid w:val="004E1717"/>
    <w:rsid w:val="004E183A"/>
    <w:rsid w:val="004E2201"/>
    <w:rsid w:val="004E2696"/>
    <w:rsid w:val="004E2A78"/>
    <w:rsid w:val="004E31A2"/>
    <w:rsid w:val="004E4099"/>
    <w:rsid w:val="004E4CFC"/>
    <w:rsid w:val="004E510B"/>
    <w:rsid w:val="004E53EF"/>
    <w:rsid w:val="004E5802"/>
    <w:rsid w:val="004E59BA"/>
    <w:rsid w:val="004E6464"/>
    <w:rsid w:val="004E66D1"/>
    <w:rsid w:val="004E72A2"/>
    <w:rsid w:val="004F0454"/>
    <w:rsid w:val="004F0A8B"/>
    <w:rsid w:val="004F0D15"/>
    <w:rsid w:val="004F0F39"/>
    <w:rsid w:val="004F15C2"/>
    <w:rsid w:val="004F1879"/>
    <w:rsid w:val="004F2636"/>
    <w:rsid w:val="004F29D6"/>
    <w:rsid w:val="004F3767"/>
    <w:rsid w:val="004F38DE"/>
    <w:rsid w:val="004F3A88"/>
    <w:rsid w:val="004F4751"/>
    <w:rsid w:val="004F52CC"/>
    <w:rsid w:val="004F61EF"/>
    <w:rsid w:val="004F7316"/>
    <w:rsid w:val="004F7749"/>
    <w:rsid w:val="005011FF"/>
    <w:rsid w:val="0050147A"/>
    <w:rsid w:val="00501BBD"/>
    <w:rsid w:val="0050339F"/>
    <w:rsid w:val="00504403"/>
    <w:rsid w:val="00504E6E"/>
    <w:rsid w:val="0050633C"/>
    <w:rsid w:val="00506D6E"/>
    <w:rsid w:val="00507BC2"/>
    <w:rsid w:val="005100CD"/>
    <w:rsid w:val="0051137A"/>
    <w:rsid w:val="00511CE0"/>
    <w:rsid w:val="00515225"/>
    <w:rsid w:val="00515DD3"/>
    <w:rsid w:val="00517313"/>
    <w:rsid w:val="00517437"/>
    <w:rsid w:val="00521D66"/>
    <w:rsid w:val="00522ECC"/>
    <w:rsid w:val="00523974"/>
    <w:rsid w:val="0052417B"/>
    <w:rsid w:val="00524302"/>
    <w:rsid w:val="00524842"/>
    <w:rsid w:val="005249D9"/>
    <w:rsid w:val="00526029"/>
    <w:rsid w:val="005271DE"/>
    <w:rsid w:val="00530456"/>
    <w:rsid w:val="0053055D"/>
    <w:rsid w:val="005310AA"/>
    <w:rsid w:val="0053179C"/>
    <w:rsid w:val="005332A5"/>
    <w:rsid w:val="0053579C"/>
    <w:rsid w:val="00535CD8"/>
    <w:rsid w:val="00535E9C"/>
    <w:rsid w:val="005362A5"/>
    <w:rsid w:val="005367B8"/>
    <w:rsid w:val="005379AB"/>
    <w:rsid w:val="00540A73"/>
    <w:rsid w:val="0054144D"/>
    <w:rsid w:val="00542673"/>
    <w:rsid w:val="00542813"/>
    <w:rsid w:val="00542D73"/>
    <w:rsid w:val="00542E3D"/>
    <w:rsid w:val="00544E71"/>
    <w:rsid w:val="005454BC"/>
    <w:rsid w:val="00545AFA"/>
    <w:rsid w:val="005461AA"/>
    <w:rsid w:val="0054658C"/>
    <w:rsid w:val="005469CB"/>
    <w:rsid w:val="00546DEB"/>
    <w:rsid w:val="00546EEB"/>
    <w:rsid w:val="0054768D"/>
    <w:rsid w:val="00550184"/>
    <w:rsid w:val="005513DC"/>
    <w:rsid w:val="005513FF"/>
    <w:rsid w:val="0055217B"/>
    <w:rsid w:val="005525B8"/>
    <w:rsid w:val="005565E0"/>
    <w:rsid w:val="00556639"/>
    <w:rsid w:val="005567D0"/>
    <w:rsid w:val="005569C5"/>
    <w:rsid w:val="00556C47"/>
    <w:rsid w:val="005572CD"/>
    <w:rsid w:val="005573D6"/>
    <w:rsid w:val="005600DD"/>
    <w:rsid w:val="0056019D"/>
    <w:rsid w:val="005605DC"/>
    <w:rsid w:val="005609D1"/>
    <w:rsid w:val="00561734"/>
    <w:rsid w:val="00561EF3"/>
    <w:rsid w:val="00562883"/>
    <w:rsid w:val="00562FFF"/>
    <w:rsid w:val="00563789"/>
    <w:rsid w:val="005638A3"/>
    <w:rsid w:val="00564215"/>
    <w:rsid w:val="00564F00"/>
    <w:rsid w:val="00564FFB"/>
    <w:rsid w:val="00565884"/>
    <w:rsid w:val="00565E1E"/>
    <w:rsid w:val="00566589"/>
    <w:rsid w:val="0057053F"/>
    <w:rsid w:val="005719F7"/>
    <w:rsid w:val="00572449"/>
    <w:rsid w:val="005726EE"/>
    <w:rsid w:val="0057328D"/>
    <w:rsid w:val="00573D65"/>
    <w:rsid w:val="00573FFA"/>
    <w:rsid w:val="005740DF"/>
    <w:rsid w:val="00574D0D"/>
    <w:rsid w:val="0057536A"/>
    <w:rsid w:val="00576619"/>
    <w:rsid w:val="00576CD7"/>
    <w:rsid w:val="00577CD1"/>
    <w:rsid w:val="00581107"/>
    <w:rsid w:val="00582EDD"/>
    <w:rsid w:val="00583E38"/>
    <w:rsid w:val="00584F3A"/>
    <w:rsid w:val="00585092"/>
    <w:rsid w:val="00585945"/>
    <w:rsid w:val="005865D5"/>
    <w:rsid w:val="0059002F"/>
    <w:rsid w:val="00590CB5"/>
    <w:rsid w:val="00590FC6"/>
    <w:rsid w:val="005917D3"/>
    <w:rsid w:val="005935CA"/>
    <w:rsid w:val="0059457F"/>
    <w:rsid w:val="00594CDA"/>
    <w:rsid w:val="005951FD"/>
    <w:rsid w:val="0059558E"/>
    <w:rsid w:val="005960A3"/>
    <w:rsid w:val="00596B85"/>
    <w:rsid w:val="00596E93"/>
    <w:rsid w:val="00597438"/>
    <w:rsid w:val="00597D77"/>
    <w:rsid w:val="005A07A5"/>
    <w:rsid w:val="005A2FAC"/>
    <w:rsid w:val="005A3232"/>
    <w:rsid w:val="005A5B4E"/>
    <w:rsid w:val="005B09FB"/>
    <w:rsid w:val="005B0D7E"/>
    <w:rsid w:val="005B15F8"/>
    <w:rsid w:val="005B1E54"/>
    <w:rsid w:val="005B2993"/>
    <w:rsid w:val="005B2AD0"/>
    <w:rsid w:val="005B2AEF"/>
    <w:rsid w:val="005B3C5A"/>
    <w:rsid w:val="005B4B58"/>
    <w:rsid w:val="005B58F4"/>
    <w:rsid w:val="005B5AD6"/>
    <w:rsid w:val="005B5CBE"/>
    <w:rsid w:val="005B61B2"/>
    <w:rsid w:val="005B7066"/>
    <w:rsid w:val="005B7786"/>
    <w:rsid w:val="005C1A6B"/>
    <w:rsid w:val="005C1B0A"/>
    <w:rsid w:val="005C2755"/>
    <w:rsid w:val="005C39B9"/>
    <w:rsid w:val="005C3ACA"/>
    <w:rsid w:val="005C3BB2"/>
    <w:rsid w:val="005C448C"/>
    <w:rsid w:val="005C4AD9"/>
    <w:rsid w:val="005C6B84"/>
    <w:rsid w:val="005C715F"/>
    <w:rsid w:val="005D095D"/>
    <w:rsid w:val="005D1F1B"/>
    <w:rsid w:val="005D207F"/>
    <w:rsid w:val="005D22E5"/>
    <w:rsid w:val="005D3F93"/>
    <w:rsid w:val="005D48BE"/>
    <w:rsid w:val="005D4AD2"/>
    <w:rsid w:val="005D50FF"/>
    <w:rsid w:val="005D51A6"/>
    <w:rsid w:val="005D59B3"/>
    <w:rsid w:val="005D6009"/>
    <w:rsid w:val="005D6453"/>
    <w:rsid w:val="005D6539"/>
    <w:rsid w:val="005E0813"/>
    <w:rsid w:val="005E1FBC"/>
    <w:rsid w:val="005E269F"/>
    <w:rsid w:val="005E3611"/>
    <w:rsid w:val="005E3E08"/>
    <w:rsid w:val="005E49C0"/>
    <w:rsid w:val="005E4A2A"/>
    <w:rsid w:val="005E4D9E"/>
    <w:rsid w:val="005E4DEF"/>
    <w:rsid w:val="005E4F31"/>
    <w:rsid w:val="005E5BD3"/>
    <w:rsid w:val="005E640E"/>
    <w:rsid w:val="005E6BC1"/>
    <w:rsid w:val="005E7547"/>
    <w:rsid w:val="005E7933"/>
    <w:rsid w:val="005E7B39"/>
    <w:rsid w:val="005F03F9"/>
    <w:rsid w:val="005F09BA"/>
    <w:rsid w:val="005F113B"/>
    <w:rsid w:val="005F1E32"/>
    <w:rsid w:val="005F29D9"/>
    <w:rsid w:val="005F3EBF"/>
    <w:rsid w:val="005F43C4"/>
    <w:rsid w:val="005F4431"/>
    <w:rsid w:val="005F6050"/>
    <w:rsid w:val="006061A4"/>
    <w:rsid w:val="00607152"/>
    <w:rsid w:val="00610267"/>
    <w:rsid w:val="006109E4"/>
    <w:rsid w:val="00612F1B"/>
    <w:rsid w:val="006131AD"/>
    <w:rsid w:val="0061455E"/>
    <w:rsid w:val="006145D0"/>
    <w:rsid w:val="00615149"/>
    <w:rsid w:val="0061524F"/>
    <w:rsid w:val="006161A9"/>
    <w:rsid w:val="00616344"/>
    <w:rsid w:val="00620DB4"/>
    <w:rsid w:val="00621E1A"/>
    <w:rsid w:val="0062316E"/>
    <w:rsid w:val="006251B9"/>
    <w:rsid w:val="0062548D"/>
    <w:rsid w:val="006255C5"/>
    <w:rsid w:val="00625712"/>
    <w:rsid w:val="00626E4D"/>
    <w:rsid w:val="00630555"/>
    <w:rsid w:val="006310F3"/>
    <w:rsid w:val="0063280A"/>
    <w:rsid w:val="00633CC4"/>
    <w:rsid w:val="00635715"/>
    <w:rsid w:val="00635B4F"/>
    <w:rsid w:val="0063658D"/>
    <w:rsid w:val="00636D4A"/>
    <w:rsid w:val="006371D0"/>
    <w:rsid w:val="00637D01"/>
    <w:rsid w:val="006402B2"/>
    <w:rsid w:val="0064045A"/>
    <w:rsid w:val="0064184E"/>
    <w:rsid w:val="00642BE3"/>
    <w:rsid w:val="00642D2E"/>
    <w:rsid w:val="00642E95"/>
    <w:rsid w:val="00643EC6"/>
    <w:rsid w:val="006455F0"/>
    <w:rsid w:val="00646551"/>
    <w:rsid w:val="00646C49"/>
    <w:rsid w:val="00646C70"/>
    <w:rsid w:val="00646D84"/>
    <w:rsid w:val="006476F3"/>
    <w:rsid w:val="0065117D"/>
    <w:rsid w:val="006513B8"/>
    <w:rsid w:val="00651AAB"/>
    <w:rsid w:val="00652D3F"/>
    <w:rsid w:val="00652E9D"/>
    <w:rsid w:val="00653965"/>
    <w:rsid w:val="00654806"/>
    <w:rsid w:val="00654A9C"/>
    <w:rsid w:val="00656155"/>
    <w:rsid w:val="0066025F"/>
    <w:rsid w:val="0066054C"/>
    <w:rsid w:val="00661565"/>
    <w:rsid w:val="00661693"/>
    <w:rsid w:val="006619D8"/>
    <w:rsid w:val="006623C0"/>
    <w:rsid w:val="006633F7"/>
    <w:rsid w:val="006644D2"/>
    <w:rsid w:val="006646F9"/>
    <w:rsid w:val="00665157"/>
    <w:rsid w:val="006660BB"/>
    <w:rsid w:val="00666350"/>
    <w:rsid w:val="006709E9"/>
    <w:rsid w:val="00670A7F"/>
    <w:rsid w:val="00670AF2"/>
    <w:rsid w:val="0067400C"/>
    <w:rsid w:val="00674C9C"/>
    <w:rsid w:val="0067509E"/>
    <w:rsid w:val="00676D38"/>
    <w:rsid w:val="00677B3C"/>
    <w:rsid w:val="00680B40"/>
    <w:rsid w:val="00681DA0"/>
    <w:rsid w:val="00682801"/>
    <w:rsid w:val="00682BB2"/>
    <w:rsid w:val="00683137"/>
    <w:rsid w:val="006835C0"/>
    <w:rsid w:val="0068367D"/>
    <w:rsid w:val="00683BF4"/>
    <w:rsid w:val="0068482C"/>
    <w:rsid w:val="006853DD"/>
    <w:rsid w:val="00685A6D"/>
    <w:rsid w:val="006876B9"/>
    <w:rsid w:val="00687EB8"/>
    <w:rsid w:val="006919D2"/>
    <w:rsid w:val="006919ED"/>
    <w:rsid w:val="00691A2A"/>
    <w:rsid w:val="00692D70"/>
    <w:rsid w:val="006930E8"/>
    <w:rsid w:val="00694F84"/>
    <w:rsid w:val="00695834"/>
    <w:rsid w:val="006959BC"/>
    <w:rsid w:val="00695D84"/>
    <w:rsid w:val="00695FEA"/>
    <w:rsid w:val="0069643C"/>
    <w:rsid w:val="00697E2B"/>
    <w:rsid w:val="006A0F38"/>
    <w:rsid w:val="006A1013"/>
    <w:rsid w:val="006A262E"/>
    <w:rsid w:val="006A2BF9"/>
    <w:rsid w:val="006A2F02"/>
    <w:rsid w:val="006A37AE"/>
    <w:rsid w:val="006A37BF"/>
    <w:rsid w:val="006A3F55"/>
    <w:rsid w:val="006A472E"/>
    <w:rsid w:val="006A525C"/>
    <w:rsid w:val="006A5D03"/>
    <w:rsid w:val="006A64D5"/>
    <w:rsid w:val="006A6F2E"/>
    <w:rsid w:val="006A72B1"/>
    <w:rsid w:val="006A7D3C"/>
    <w:rsid w:val="006B06F8"/>
    <w:rsid w:val="006B0BAC"/>
    <w:rsid w:val="006B18CF"/>
    <w:rsid w:val="006B2A00"/>
    <w:rsid w:val="006B3180"/>
    <w:rsid w:val="006B3314"/>
    <w:rsid w:val="006B3510"/>
    <w:rsid w:val="006B3520"/>
    <w:rsid w:val="006B4CA5"/>
    <w:rsid w:val="006B6124"/>
    <w:rsid w:val="006B6EA1"/>
    <w:rsid w:val="006C0234"/>
    <w:rsid w:val="006C07DC"/>
    <w:rsid w:val="006C0ED7"/>
    <w:rsid w:val="006C1BFB"/>
    <w:rsid w:val="006C1F5F"/>
    <w:rsid w:val="006C2D0C"/>
    <w:rsid w:val="006C56B9"/>
    <w:rsid w:val="006C585B"/>
    <w:rsid w:val="006C625D"/>
    <w:rsid w:val="006C694B"/>
    <w:rsid w:val="006C69B4"/>
    <w:rsid w:val="006C74D2"/>
    <w:rsid w:val="006D02EC"/>
    <w:rsid w:val="006D0974"/>
    <w:rsid w:val="006D09E1"/>
    <w:rsid w:val="006D1241"/>
    <w:rsid w:val="006D1621"/>
    <w:rsid w:val="006D358F"/>
    <w:rsid w:val="006D53A0"/>
    <w:rsid w:val="006D5C97"/>
    <w:rsid w:val="006D70F6"/>
    <w:rsid w:val="006D72C7"/>
    <w:rsid w:val="006D76A5"/>
    <w:rsid w:val="006D784D"/>
    <w:rsid w:val="006E12CD"/>
    <w:rsid w:val="006E1648"/>
    <w:rsid w:val="006E1798"/>
    <w:rsid w:val="006E3BC9"/>
    <w:rsid w:val="006E3C80"/>
    <w:rsid w:val="006E4BC1"/>
    <w:rsid w:val="006E540E"/>
    <w:rsid w:val="006E5926"/>
    <w:rsid w:val="006E5F52"/>
    <w:rsid w:val="006E6060"/>
    <w:rsid w:val="006E6D4A"/>
    <w:rsid w:val="006E7AD6"/>
    <w:rsid w:val="006F065F"/>
    <w:rsid w:val="006F17FD"/>
    <w:rsid w:val="006F1B43"/>
    <w:rsid w:val="006F226C"/>
    <w:rsid w:val="006F29FF"/>
    <w:rsid w:val="006F2CB0"/>
    <w:rsid w:val="006F3151"/>
    <w:rsid w:val="006F31D7"/>
    <w:rsid w:val="006F403C"/>
    <w:rsid w:val="006F557A"/>
    <w:rsid w:val="006F55B7"/>
    <w:rsid w:val="006F5654"/>
    <w:rsid w:val="006F653C"/>
    <w:rsid w:val="006F65FB"/>
    <w:rsid w:val="006F7596"/>
    <w:rsid w:val="006F78F7"/>
    <w:rsid w:val="00702FB7"/>
    <w:rsid w:val="00703C41"/>
    <w:rsid w:val="00705AC4"/>
    <w:rsid w:val="00705B88"/>
    <w:rsid w:val="00705BCD"/>
    <w:rsid w:val="00705FEB"/>
    <w:rsid w:val="0070735F"/>
    <w:rsid w:val="00711892"/>
    <w:rsid w:val="00711913"/>
    <w:rsid w:val="00712923"/>
    <w:rsid w:val="00712B8B"/>
    <w:rsid w:val="00713523"/>
    <w:rsid w:val="007139CF"/>
    <w:rsid w:val="0071459E"/>
    <w:rsid w:val="007146E6"/>
    <w:rsid w:val="0071495A"/>
    <w:rsid w:val="00714BFB"/>
    <w:rsid w:val="00715409"/>
    <w:rsid w:val="00715841"/>
    <w:rsid w:val="0071607F"/>
    <w:rsid w:val="00716835"/>
    <w:rsid w:val="00716F00"/>
    <w:rsid w:val="00720767"/>
    <w:rsid w:val="00720E73"/>
    <w:rsid w:val="00721034"/>
    <w:rsid w:val="00722298"/>
    <w:rsid w:val="007223C6"/>
    <w:rsid w:val="00722C04"/>
    <w:rsid w:val="007240FC"/>
    <w:rsid w:val="00724950"/>
    <w:rsid w:val="00725442"/>
    <w:rsid w:val="0072606A"/>
    <w:rsid w:val="00726218"/>
    <w:rsid w:val="00727A2D"/>
    <w:rsid w:val="00732E9D"/>
    <w:rsid w:val="007337A2"/>
    <w:rsid w:val="00733A87"/>
    <w:rsid w:val="00735110"/>
    <w:rsid w:val="007356B3"/>
    <w:rsid w:val="00735955"/>
    <w:rsid w:val="007360C8"/>
    <w:rsid w:val="00737FA7"/>
    <w:rsid w:val="0074100B"/>
    <w:rsid w:val="00741EDB"/>
    <w:rsid w:val="00743194"/>
    <w:rsid w:val="00743236"/>
    <w:rsid w:val="0074376A"/>
    <w:rsid w:val="00744628"/>
    <w:rsid w:val="0074493F"/>
    <w:rsid w:val="007457E0"/>
    <w:rsid w:val="00747208"/>
    <w:rsid w:val="0074778C"/>
    <w:rsid w:val="00751B15"/>
    <w:rsid w:val="0075297F"/>
    <w:rsid w:val="0075531B"/>
    <w:rsid w:val="00755E13"/>
    <w:rsid w:val="00755F4E"/>
    <w:rsid w:val="00757966"/>
    <w:rsid w:val="00757C68"/>
    <w:rsid w:val="00760352"/>
    <w:rsid w:val="00760906"/>
    <w:rsid w:val="00760957"/>
    <w:rsid w:val="00760E35"/>
    <w:rsid w:val="007621C7"/>
    <w:rsid w:val="00762FC2"/>
    <w:rsid w:val="007632C2"/>
    <w:rsid w:val="00763F21"/>
    <w:rsid w:val="0076646D"/>
    <w:rsid w:val="007665B3"/>
    <w:rsid w:val="00766B2D"/>
    <w:rsid w:val="00767A95"/>
    <w:rsid w:val="00770586"/>
    <w:rsid w:val="00771400"/>
    <w:rsid w:val="00771DCE"/>
    <w:rsid w:val="00772F05"/>
    <w:rsid w:val="00773502"/>
    <w:rsid w:val="007735FF"/>
    <w:rsid w:val="007738B3"/>
    <w:rsid w:val="00773AA1"/>
    <w:rsid w:val="0077513B"/>
    <w:rsid w:val="007752E1"/>
    <w:rsid w:val="00775400"/>
    <w:rsid w:val="007755A4"/>
    <w:rsid w:val="00776EBE"/>
    <w:rsid w:val="00777CB2"/>
    <w:rsid w:val="0078034C"/>
    <w:rsid w:val="007804C4"/>
    <w:rsid w:val="00781BDD"/>
    <w:rsid w:val="00781F65"/>
    <w:rsid w:val="00782004"/>
    <w:rsid w:val="00782691"/>
    <w:rsid w:val="00783A96"/>
    <w:rsid w:val="00783FCD"/>
    <w:rsid w:val="00784B62"/>
    <w:rsid w:val="007854F1"/>
    <w:rsid w:val="0078658A"/>
    <w:rsid w:val="00791387"/>
    <w:rsid w:val="0079152E"/>
    <w:rsid w:val="007917FD"/>
    <w:rsid w:val="00792797"/>
    <w:rsid w:val="0079356C"/>
    <w:rsid w:val="00793BAB"/>
    <w:rsid w:val="00794FAD"/>
    <w:rsid w:val="007951F6"/>
    <w:rsid w:val="007A0037"/>
    <w:rsid w:val="007A1A5C"/>
    <w:rsid w:val="007A1EB2"/>
    <w:rsid w:val="007A209B"/>
    <w:rsid w:val="007A27FF"/>
    <w:rsid w:val="007A469A"/>
    <w:rsid w:val="007A4F9F"/>
    <w:rsid w:val="007A711E"/>
    <w:rsid w:val="007B0245"/>
    <w:rsid w:val="007B0783"/>
    <w:rsid w:val="007B0A64"/>
    <w:rsid w:val="007B0F79"/>
    <w:rsid w:val="007B1651"/>
    <w:rsid w:val="007B17C9"/>
    <w:rsid w:val="007B284E"/>
    <w:rsid w:val="007B2850"/>
    <w:rsid w:val="007B3012"/>
    <w:rsid w:val="007B3ADC"/>
    <w:rsid w:val="007B4DC2"/>
    <w:rsid w:val="007B5B62"/>
    <w:rsid w:val="007B60D4"/>
    <w:rsid w:val="007B6891"/>
    <w:rsid w:val="007C01E3"/>
    <w:rsid w:val="007C0696"/>
    <w:rsid w:val="007C4C91"/>
    <w:rsid w:val="007C51B2"/>
    <w:rsid w:val="007C643C"/>
    <w:rsid w:val="007C64C2"/>
    <w:rsid w:val="007C64DB"/>
    <w:rsid w:val="007C6C01"/>
    <w:rsid w:val="007C73CE"/>
    <w:rsid w:val="007D0A19"/>
    <w:rsid w:val="007D0EBB"/>
    <w:rsid w:val="007D0F67"/>
    <w:rsid w:val="007D15BA"/>
    <w:rsid w:val="007D17B1"/>
    <w:rsid w:val="007D260C"/>
    <w:rsid w:val="007D4508"/>
    <w:rsid w:val="007D4923"/>
    <w:rsid w:val="007D592D"/>
    <w:rsid w:val="007D5CFD"/>
    <w:rsid w:val="007D5D11"/>
    <w:rsid w:val="007D6584"/>
    <w:rsid w:val="007D6E28"/>
    <w:rsid w:val="007E062F"/>
    <w:rsid w:val="007E2A79"/>
    <w:rsid w:val="007E548B"/>
    <w:rsid w:val="007E6D21"/>
    <w:rsid w:val="007E6F4F"/>
    <w:rsid w:val="007E77F1"/>
    <w:rsid w:val="007E7F94"/>
    <w:rsid w:val="007F0276"/>
    <w:rsid w:val="007F16D0"/>
    <w:rsid w:val="007F1D41"/>
    <w:rsid w:val="007F2B5B"/>
    <w:rsid w:val="007F476A"/>
    <w:rsid w:val="007F4A8B"/>
    <w:rsid w:val="007F4AFA"/>
    <w:rsid w:val="007F6B55"/>
    <w:rsid w:val="00800A62"/>
    <w:rsid w:val="00800ECF"/>
    <w:rsid w:val="0080152A"/>
    <w:rsid w:val="00801EB9"/>
    <w:rsid w:val="008028AC"/>
    <w:rsid w:val="0080362B"/>
    <w:rsid w:val="008046CE"/>
    <w:rsid w:val="00805CE5"/>
    <w:rsid w:val="00806594"/>
    <w:rsid w:val="00806D71"/>
    <w:rsid w:val="00807E13"/>
    <w:rsid w:val="00810EFA"/>
    <w:rsid w:val="008120B2"/>
    <w:rsid w:val="00814BCD"/>
    <w:rsid w:val="008159CE"/>
    <w:rsid w:val="00817D1B"/>
    <w:rsid w:val="00817F1A"/>
    <w:rsid w:val="008208EE"/>
    <w:rsid w:val="00820E1A"/>
    <w:rsid w:val="008224FA"/>
    <w:rsid w:val="00822E06"/>
    <w:rsid w:val="00823C6E"/>
    <w:rsid w:val="00824B40"/>
    <w:rsid w:val="00824D81"/>
    <w:rsid w:val="00825433"/>
    <w:rsid w:val="00826618"/>
    <w:rsid w:val="00826EA1"/>
    <w:rsid w:val="00830787"/>
    <w:rsid w:val="00831073"/>
    <w:rsid w:val="008320F3"/>
    <w:rsid w:val="008328A3"/>
    <w:rsid w:val="00833824"/>
    <w:rsid w:val="00833966"/>
    <w:rsid w:val="00834492"/>
    <w:rsid w:val="00834785"/>
    <w:rsid w:val="0083524B"/>
    <w:rsid w:val="00836358"/>
    <w:rsid w:val="00836A17"/>
    <w:rsid w:val="0083744B"/>
    <w:rsid w:val="00837651"/>
    <w:rsid w:val="00837866"/>
    <w:rsid w:val="008378DC"/>
    <w:rsid w:val="008379D9"/>
    <w:rsid w:val="0084049C"/>
    <w:rsid w:val="00840F04"/>
    <w:rsid w:val="00841231"/>
    <w:rsid w:val="00841AD1"/>
    <w:rsid w:val="00842704"/>
    <w:rsid w:val="0084357B"/>
    <w:rsid w:val="00843B82"/>
    <w:rsid w:val="00844081"/>
    <w:rsid w:val="00844F6B"/>
    <w:rsid w:val="00845587"/>
    <w:rsid w:val="00845895"/>
    <w:rsid w:val="00847F33"/>
    <w:rsid w:val="00850ABB"/>
    <w:rsid w:val="00850C80"/>
    <w:rsid w:val="008511BC"/>
    <w:rsid w:val="00851936"/>
    <w:rsid w:val="00852FB2"/>
    <w:rsid w:val="00853E3D"/>
    <w:rsid w:val="00854DEC"/>
    <w:rsid w:val="0085545B"/>
    <w:rsid w:val="00855EBA"/>
    <w:rsid w:val="00856F93"/>
    <w:rsid w:val="00860CBA"/>
    <w:rsid w:val="00861135"/>
    <w:rsid w:val="00861191"/>
    <w:rsid w:val="00861567"/>
    <w:rsid w:val="00861BCE"/>
    <w:rsid w:val="00861EBC"/>
    <w:rsid w:val="00862040"/>
    <w:rsid w:val="00862359"/>
    <w:rsid w:val="00862483"/>
    <w:rsid w:val="00862828"/>
    <w:rsid w:val="00862B0A"/>
    <w:rsid w:val="008639E1"/>
    <w:rsid w:val="00865187"/>
    <w:rsid w:val="0086597A"/>
    <w:rsid w:val="00866466"/>
    <w:rsid w:val="008669D8"/>
    <w:rsid w:val="00867C4C"/>
    <w:rsid w:val="008730EE"/>
    <w:rsid w:val="00873F71"/>
    <w:rsid w:val="0087501C"/>
    <w:rsid w:val="008751E6"/>
    <w:rsid w:val="008753D4"/>
    <w:rsid w:val="00876B32"/>
    <w:rsid w:val="00877D64"/>
    <w:rsid w:val="0088075B"/>
    <w:rsid w:val="00882ACC"/>
    <w:rsid w:val="00882F70"/>
    <w:rsid w:val="008845D7"/>
    <w:rsid w:val="00884A08"/>
    <w:rsid w:val="00884C0A"/>
    <w:rsid w:val="00890FD8"/>
    <w:rsid w:val="00892EAB"/>
    <w:rsid w:val="00893387"/>
    <w:rsid w:val="00893A10"/>
    <w:rsid w:val="00894225"/>
    <w:rsid w:val="008945B1"/>
    <w:rsid w:val="0089566F"/>
    <w:rsid w:val="00895A0E"/>
    <w:rsid w:val="00895E09"/>
    <w:rsid w:val="0089619C"/>
    <w:rsid w:val="00896396"/>
    <w:rsid w:val="0089669F"/>
    <w:rsid w:val="0089707E"/>
    <w:rsid w:val="008A0C08"/>
    <w:rsid w:val="008A0C13"/>
    <w:rsid w:val="008A136C"/>
    <w:rsid w:val="008A2B33"/>
    <w:rsid w:val="008A3E0A"/>
    <w:rsid w:val="008A41A6"/>
    <w:rsid w:val="008A4FB1"/>
    <w:rsid w:val="008A5765"/>
    <w:rsid w:val="008A6255"/>
    <w:rsid w:val="008A664D"/>
    <w:rsid w:val="008A7090"/>
    <w:rsid w:val="008A7677"/>
    <w:rsid w:val="008A7890"/>
    <w:rsid w:val="008A7B86"/>
    <w:rsid w:val="008B099E"/>
    <w:rsid w:val="008B18F4"/>
    <w:rsid w:val="008B1A20"/>
    <w:rsid w:val="008B5070"/>
    <w:rsid w:val="008B6CC4"/>
    <w:rsid w:val="008B6CF1"/>
    <w:rsid w:val="008B7DBF"/>
    <w:rsid w:val="008C07A1"/>
    <w:rsid w:val="008C102B"/>
    <w:rsid w:val="008C1039"/>
    <w:rsid w:val="008C1F91"/>
    <w:rsid w:val="008C289C"/>
    <w:rsid w:val="008C51D0"/>
    <w:rsid w:val="008C6F99"/>
    <w:rsid w:val="008D0783"/>
    <w:rsid w:val="008D1C08"/>
    <w:rsid w:val="008D1C44"/>
    <w:rsid w:val="008D228E"/>
    <w:rsid w:val="008D233F"/>
    <w:rsid w:val="008D292D"/>
    <w:rsid w:val="008D2EC2"/>
    <w:rsid w:val="008D3F96"/>
    <w:rsid w:val="008D45E7"/>
    <w:rsid w:val="008D467F"/>
    <w:rsid w:val="008D4DB5"/>
    <w:rsid w:val="008D639B"/>
    <w:rsid w:val="008D7758"/>
    <w:rsid w:val="008D79A5"/>
    <w:rsid w:val="008D7D4D"/>
    <w:rsid w:val="008D7E97"/>
    <w:rsid w:val="008E0653"/>
    <w:rsid w:val="008E0C3B"/>
    <w:rsid w:val="008E263C"/>
    <w:rsid w:val="008E3C9A"/>
    <w:rsid w:val="008E447A"/>
    <w:rsid w:val="008E5CF6"/>
    <w:rsid w:val="008E660B"/>
    <w:rsid w:val="008E7199"/>
    <w:rsid w:val="008E75D6"/>
    <w:rsid w:val="008E7EB7"/>
    <w:rsid w:val="008F13FB"/>
    <w:rsid w:val="008F2062"/>
    <w:rsid w:val="008F220B"/>
    <w:rsid w:val="008F6219"/>
    <w:rsid w:val="008F6656"/>
    <w:rsid w:val="008F6F53"/>
    <w:rsid w:val="008F7691"/>
    <w:rsid w:val="008F7F51"/>
    <w:rsid w:val="009019E3"/>
    <w:rsid w:val="00901C8E"/>
    <w:rsid w:val="00902FF3"/>
    <w:rsid w:val="0090350A"/>
    <w:rsid w:val="00903544"/>
    <w:rsid w:val="0090372F"/>
    <w:rsid w:val="00904F46"/>
    <w:rsid w:val="009076D6"/>
    <w:rsid w:val="00907746"/>
    <w:rsid w:val="00917809"/>
    <w:rsid w:val="00921D91"/>
    <w:rsid w:val="0092288B"/>
    <w:rsid w:val="00923C37"/>
    <w:rsid w:val="00926A56"/>
    <w:rsid w:val="00931772"/>
    <w:rsid w:val="009321DE"/>
    <w:rsid w:val="00932502"/>
    <w:rsid w:val="00932B68"/>
    <w:rsid w:val="00932F52"/>
    <w:rsid w:val="00933BD3"/>
    <w:rsid w:val="00934C57"/>
    <w:rsid w:val="00934E9C"/>
    <w:rsid w:val="00935381"/>
    <w:rsid w:val="00935D86"/>
    <w:rsid w:val="00937929"/>
    <w:rsid w:val="00937CBF"/>
    <w:rsid w:val="00941D9C"/>
    <w:rsid w:val="00942200"/>
    <w:rsid w:val="0094269B"/>
    <w:rsid w:val="00943F21"/>
    <w:rsid w:val="0094558B"/>
    <w:rsid w:val="00946C04"/>
    <w:rsid w:val="00947A76"/>
    <w:rsid w:val="009501EA"/>
    <w:rsid w:val="00950281"/>
    <w:rsid w:val="0095063A"/>
    <w:rsid w:val="00950786"/>
    <w:rsid w:val="00950915"/>
    <w:rsid w:val="00951B4C"/>
    <w:rsid w:val="00953597"/>
    <w:rsid w:val="009573E4"/>
    <w:rsid w:val="00957CBC"/>
    <w:rsid w:val="00960549"/>
    <w:rsid w:val="00964F80"/>
    <w:rsid w:val="009656A3"/>
    <w:rsid w:val="00965A30"/>
    <w:rsid w:val="009662B1"/>
    <w:rsid w:val="00966B41"/>
    <w:rsid w:val="00967354"/>
    <w:rsid w:val="0096744E"/>
    <w:rsid w:val="00967553"/>
    <w:rsid w:val="00972184"/>
    <w:rsid w:val="009721A7"/>
    <w:rsid w:val="00972310"/>
    <w:rsid w:val="00972B51"/>
    <w:rsid w:val="00972BB2"/>
    <w:rsid w:val="00972F6D"/>
    <w:rsid w:val="0097420D"/>
    <w:rsid w:val="00974A12"/>
    <w:rsid w:val="00974A84"/>
    <w:rsid w:val="00976D6C"/>
    <w:rsid w:val="00976E6F"/>
    <w:rsid w:val="00977963"/>
    <w:rsid w:val="00980203"/>
    <w:rsid w:val="00980B60"/>
    <w:rsid w:val="0098146C"/>
    <w:rsid w:val="00981ED2"/>
    <w:rsid w:val="00982288"/>
    <w:rsid w:val="00982775"/>
    <w:rsid w:val="0098283D"/>
    <w:rsid w:val="00983180"/>
    <w:rsid w:val="009859F1"/>
    <w:rsid w:val="009863F8"/>
    <w:rsid w:val="00986B56"/>
    <w:rsid w:val="00986C22"/>
    <w:rsid w:val="00987B85"/>
    <w:rsid w:val="00991D21"/>
    <w:rsid w:val="0099229C"/>
    <w:rsid w:val="009939A3"/>
    <w:rsid w:val="00996A9B"/>
    <w:rsid w:val="009A0163"/>
    <w:rsid w:val="009A0302"/>
    <w:rsid w:val="009A0404"/>
    <w:rsid w:val="009A0CCE"/>
    <w:rsid w:val="009A129A"/>
    <w:rsid w:val="009A1638"/>
    <w:rsid w:val="009A2B41"/>
    <w:rsid w:val="009A36FA"/>
    <w:rsid w:val="009A3DD8"/>
    <w:rsid w:val="009A4774"/>
    <w:rsid w:val="009A5196"/>
    <w:rsid w:val="009A6CFC"/>
    <w:rsid w:val="009B090C"/>
    <w:rsid w:val="009B1A6F"/>
    <w:rsid w:val="009B25EE"/>
    <w:rsid w:val="009B2B64"/>
    <w:rsid w:val="009B383D"/>
    <w:rsid w:val="009B456C"/>
    <w:rsid w:val="009B56F6"/>
    <w:rsid w:val="009B5B98"/>
    <w:rsid w:val="009B62CF"/>
    <w:rsid w:val="009B7395"/>
    <w:rsid w:val="009C0008"/>
    <w:rsid w:val="009C12D0"/>
    <w:rsid w:val="009C226C"/>
    <w:rsid w:val="009C2AFD"/>
    <w:rsid w:val="009C2C35"/>
    <w:rsid w:val="009C2D95"/>
    <w:rsid w:val="009C31B5"/>
    <w:rsid w:val="009C382C"/>
    <w:rsid w:val="009C5912"/>
    <w:rsid w:val="009C72B0"/>
    <w:rsid w:val="009C7DC3"/>
    <w:rsid w:val="009D07F1"/>
    <w:rsid w:val="009D0DEC"/>
    <w:rsid w:val="009D1184"/>
    <w:rsid w:val="009D198C"/>
    <w:rsid w:val="009D1C4A"/>
    <w:rsid w:val="009D2445"/>
    <w:rsid w:val="009D30C1"/>
    <w:rsid w:val="009D31E2"/>
    <w:rsid w:val="009D3A9B"/>
    <w:rsid w:val="009D3D5F"/>
    <w:rsid w:val="009D5122"/>
    <w:rsid w:val="009D5FC4"/>
    <w:rsid w:val="009D69B5"/>
    <w:rsid w:val="009E0FFB"/>
    <w:rsid w:val="009E1D1B"/>
    <w:rsid w:val="009E36CE"/>
    <w:rsid w:val="009E3C52"/>
    <w:rsid w:val="009E43B7"/>
    <w:rsid w:val="009E46B4"/>
    <w:rsid w:val="009E4886"/>
    <w:rsid w:val="009E5246"/>
    <w:rsid w:val="009E6170"/>
    <w:rsid w:val="009E62F1"/>
    <w:rsid w:val="009E6684"/>
    <w:rsid w:val="009E7A18"/>
    <w:rsid w:val="009F007D"/>
    <w:rsid w:val="009F14B8"/>
    <w:rsid w:val="009F15BA"/>
    <w:rsid w:val="009F1AA0"/>
    <w:rsid w:val="009F1D44"/>
    <w:rsid w:val="009F2128"/>
    <w:rsid w:val="009F3544"/>
    <w:rsid w:val="009F3EBB"/>
    <w:rsid w:val="009F5311"/>
    <w:rsid w:val="009F5BBF"/>
    <w:rsid w:val="009F5F9F"/>
    <w:rsid w:val="009F76A5"/>
    <w:rsid w:val="00A000B8"/>
    <w:rsid w:val="00A02346"/>
    <w:rsid w:val="00A02B16"/>
    <w:rsid w:val="00A03767"/>
    <w:rsid w:val="00A04477"/>
    <w:rsid w:val="00A04D51"/>
    <w:rsid w:val="00A05713"/>
    <w:rsid w:val="00A06AD7"/>
    <w:rsid w:val="00A0734F"/>
    <w:rsid w:val="00A07A22"/>
    <w:rsid w:val="00A103BE"/>
    <w:rsid w:val="00A1234D"/>
    <w:rsid w:val="00A1278B"/>
    <w:rsid w:val="00A136C4"/>
    <w:rsid w:val="00A13DF4"/>
    <w:rsid w:val="00A15F60"/>
    <w:rsid w:val="00A16038"/>
    <w:rsid w:val="00A1653D"/>
    <w:rsid w:val="00A17F3F"/>
    <w:rsid w:val="00A20A23"/>
    <w:rsid w:val="00A22024"/>
    <w:rsid w:val="00A235F4"/>
    <w:rsid w:val="00A24136"/>
    <w:rsid w:val="00A24C84"/>
    <w:rsid w:val="00A24DB9"/>
    <w:rsid w:val="00A24EE7"/>
    <w:rsid w:val="00A2648A"/>
    <w:rsid w:val="00A26DB1"/>
    <w:rsid w:val="00A30B5B"/>
    <w:rsid w:val="00A310E0"/>
    <w:rsid w:val="00A316FB"/>
    <w:rsid w:val="00A31FD9"/>
    <w:rsid w:val="00A33439"/>
    <w:rsid w:val="00A34814"/>
    <w:rsid w:val="00A3496B"/>
    <w:rsid w:val="00A34E81"/>
    <w:rsid w:val="00A362C3"/>
    <w:rsid w:val="00A3630D"/>
    <w:rsid w:val="00A36940"/>
    <w:rsid w:val="00A36DC6"/>
    <w:rsid w:val="00A37C4C"/>
    <w:rsid w:val="00A40F8F"/>
    <w:rsid w:val="00A41AC4"/>
    <w:rsid w:val="00A42370"/>
    <w:rsid w:val="00A42C9E"/>
    <w:rsid w:val="00A436CA"/>
    <w:rsid w:val="00A439B8"/>
    <w:rsid w:val="00A43F13"/>
    <w:rsid w:val="00A44416"/>
    <w:rsid w:val="00A44553"/>
    <w:rsid w:val="00A451E9"/>
    <w:rsid w:val="00A45282"/>
    <w:rsid w:val="00A459D4"/>
    <w:rsid w:val="00A46D17"/>
    <w:rsid w:val="00A46F8B"/>
    <w:rsid w:val="00A50DA0"/>
    <w:rsid w:val="00A511D4"/>
    <w:rsid w:val="00A53475"/>
    <w:rsid w:val="00A553FE"/>
    <w:rsid w:val="00A55D49"/>
    <w:rsid w:val="00A55D50"/>
    <w:rsid w:val="00A56097"/>
    <w:rsid w:val="00A56109"/>
    <w:rsid w:val="00A56EDB"/>
    <w:rsid w:val="00A57242"/>
    <w:rsid w:val="00A575EB"/>
    <w:rsid w:val="00A5764A"/>
    <w:rsid w:val="00A603FE"/>
    <w:rsid w:val="00A60651"/>
    <w:rsid w:val="00A623EE"/>
    <w:rsid w:val="00A64533"/>
    <w:rsid w:val="00A645BF"/>
    <w:rsid w:val="00A65A36"/>
    <w:rsid w:val="00A667DC"/>
    <w:rsid w:val="00A671C5"/>
    <w:rsid w:val="00A6727B"/>
    <w:rsid w:val="00A7002F"/>
    <w:rsid w:val="00A70D64"/>
    <w:rsid w:val="00A719BA"/>
    <w:rsid w:val="00A7283E"/>
    <w:rsid w:val="00A72D6D"/>
    <w:rsid w:val="00A73BF1"/>
    <w:rsid w:val="00A74481"/>
    <w:rsid w:val="00A75043"/>
    <w:rsid w:val="00A7510B"/>
    <w:rsid w:val="00A7587E"/>
    <w:rsid w:val="00A75FDB"/>
    <w:rsid w:val="00A7797C"/>
    <w:rsid w:val="00A81195"/>
    <w:rsid w:val="00A82747"/>
    <w:rsid w:val="00A829BF"/>
    <w:rsid w:val="00A831AB"/>
    <w:rsid w:val="00A83B77"/>
    <w:rsid w:val="00A84D05"/>
    <w:rsid w:val="00A85566"/>
    <w:rsid w:val="00A865B8"/>
    <w:rsid w:val="00A86A44"/>
    <w:rsid w:val="00A86FDB"/>
    <w:rsid w:val="00A875CA"/>
    <w:rsid w:val="00A876F8"/>
    <w:rsid w:val="00A877BD"/>
    <w:rsid w:val="00A87BD3"/>
    <w:rsid w:val="00A9065F"/>
    <w:rsid w:val="00A926A8"/>
    <w:rsid w:val="00A96714"/>
    <w:rsid w:val="00A9789D"/>
    <w:rsid w:val="00AA0BD2"/>
    <w:rsid w:val="00AA10FB"/>
    <w:rsid w:val="00AA1FDD"/>
    <w:rsid w:val="00AA23B9"/>
    <w:rsid w:val="00AA2874"/>
    <w:rsid w:val="00AA2D22"/>
    <w:rsid w:val="00AA4AD5"/>
    <w:rsid w:val="00AA7CEA"/>
    <w:rsid w:val="00AA7DD2"/>
    <w:rsid w:val="00AB0766"/>
    <w:rsid w:val="00AB2F70"/>
    <w:rsid w:val="00AB3B66"/>
    <w:rsid w:val="00AB3F0A"/>
    <w:rsid w:val="00AB3FDD"/>
    <w:rsid w:val="00AB44AA"/>
    <w:rsid w:val="00AB45AD"/>
    <w:rsid w:val="00AB548E"/>
    <w:rsid w:val="00AB54D0"/>
    <w:rsid w:val="00AB61DB"/>
    <w:rsid w:val="00AB63E9"/>
    <w:rsid w:val="00AB6A86"/>
    <w:rsid w:val="00AC184B"/>
    <w:rsid w:val="00AC269D"/>
    <w:rsid w:val="00AC274C"/>
    <w:rsid w:val="00AC3ED0"/>
    <w:rsid w:val="00AC4A7D"/>
    <w:rsid w:val="00AC4DAA"/>
    <w:rsid w:val="00AC5C9C"/>
    <w:rsid w:val="00AC5CFB"/>
    <w:rsid w:val="00AC5E89"/>
    <w:rsid w:val="00AC6377"/>
    <w:rsid w:val="00AC642E"/>
    <w:rsid w:val="00AC661B"/>
    <w:rsid w:val="00AC78A9"/>
    <w:rsid w:val="00AD3326"/>
    <w:rsid w:val="00AD378D"/>
    <w:rsid w:val="00AD45A9"/>
    <w:rsid w:val="00AD46B8"/>
    <w:rsid w:val="00AD4F46"/>
    <w:rsid w:val="00AD55DA"/>
    <w:rsid w:val="00AD749F"/>
    <w:rsid w:val="00AD797D"/>
    <w:rsid w:val="00AD7CCE"/>
    <w:rsid w:val="00AE0594"/>
    <w:rsid w:val="00AE0C9F"/>
    <w:rsid w:val="00AE0DED"/>
    <w:rsid w:val="00AE1944"/>
    <w:rsid w:val="00AE1F0A"/>
    <w:rsid w:val="00AE23FA"/>
    <w:rsid w:val="00AE2670"/>
    <w:rsid w:val="00AE736D"/>
    <w:rsid w:val="00AF1509"/>
    <w:rsid w:val="00AF1F33"/>
    <w:rsid w:val="00AF21C9"/>
    <w:rsid w:val="00AF5143"/>
    <w:rsid w:val="00AF568E"/>
    <w:rsid w:val="00AF6B86"/>
    <w:rsid w:val="00AF7399"/>
    <w:rsid w:val="00B00C5E"/>
    <w:rsid w:val="00B01428"/>
    <w:rsid w:val="00B01DAE"/>
    <w:rsid w:val="00B022A4"/>
    <w:rsid w:val="00B02358"/>
    <w:rsid w:val="00B0376B"/>
    <w:rsid w:val="00B03AF9"/>
    <w:rsid w:val="00B03DF7"/>
    <w:rsid w:val="00B041BB"/>
    <w:rsid w:val="00B045E7"/>
    <w:rsid w:val="00B04D19"/>
    <w:rsid w:val="00B04E68"/>
    <w:rsid w:val="00B0516E"/>
    <w:rsid w:val="00B05727"/>
    <w:rsid w:val="00B05852"/>
    <w:rsid w:val="00B05D7D"/>
    <w:rsid w:val="00B06403"/>
    <w:rsid w:val="00B06D7E"/>
    <w:rsid w:val="00B108A3"/>
    <w:rsid w:val="00B114EC"/>
    <w:rsid w:val="00B122EC"/>
    <w:rsid w:val="00B13B75"/>
    <w:rsid w:val="00B13EF3"/>
    <w:rsid w:val="00B141DB"/>
    <w:rsid w:val="00B15E38"/>
    <w:rsid w:val="00B1631B"/>
    <w:rsid w:val="00B16D34"/>
    <w:rsid w:val="00B16FE2"/>
    <w:rsid w:val="00B178C5"/>
    <w:rsid w:val="00B20164"/>
    <w:rsid w:val="00B205BB"/>
    <w:rsid w:val="00B20C50"/>
    <w:rsid w:val="00B22434"/>
    <w:rsid w:val="00B2277A"/>
    <w:rsid w:val="00B23534"/>
    <w:rsid w:val="00B2395C"/>
    <w:rsid w:val="00B23F1D"/>
    <w:rsid w:val="00B248AA"/>
    <w:rsid w:val="00B2615C"/>
    <w:rsid w:val="00B26AE8"/>
    <w:rsid w:val="00B30648"/>
    <w:rsid w:val="00B31DA4"/>
    <w:rsid w:val="00B31DF0"/>
    <w:rsid w:val="00B31F7F"/>
    <w:rsid w:val="00B323AB"/>
    <w:rsid w:val="00B33D6E"/>
    <w:rsid w:val="00B34E31"/>
    <w:rsid w:val="00B357BB"/>
    <w:rsid w:val="00B35EC5"/>
    <w:rsid w:val="00B36343"/>
    <w:rsid w:val="00B36755"/>
    <w:rsid w:val="00B41F9A"/>
    <w:rsid w:val="00B4208D"/>
    <w:rsid w:val="00B42A52"/>
    <w:rsid w:val="00B43385"/>
    <w:rsid w:val="00B43467"/>
    <w:rsid w:val="00B43527"/>
    <w:rsid w:val="00B437DE"/>
    <w:rsid w:val="00B439EB"/>
    <w:rsid w:val="00B43EC0"/>
    <w:rsid w:val="00B44A5E"/>
    <w:rsid w:val="00B46294"/>
    <w:rsid w:val="00B4713C"/>
    <w:rsid w:val="00B473F4"/>
    <w:rsid w:val="00B50543"/>
    <w:rsid w:val="00B51742"/>
    <w:rsid w:val="00B517EB"/>
    <w:rsid w:val="00B5194E"/>
    <w:rsid w:val="00B52088"/>
    <w:rsid w:val="00B5271C"/>
    <w:rsid w:val="00B529D7"/>
    <w:rsid w:val="00B52CB3"/>
    <w:rsid w:val="00B53A08"/>
    <w:rsid w:val="00B542DF"/>
    <w:rsid w:val="00B5470D"/>
    <w:rsid w:val="00B55399"/>
    <w:rsid w:val="00B556F8"/>
    <w:rsid w:val="00B55EEE"/>
    <w:rsid w:val="00B56182"/>
    <w:rsid w:val="00B569B5"/>
    <w:rsid w:val="00B61566"/>
    <w:rsid w:val="00B64B4D"/>
    <w:rsid w:val="00B650E3"/>
    <w:rsid w:val="00B66271"/>
    <w:rsid w:val="00B70D78"/>
    <w:rsid w:val="00B71384"/>
    <w:rsid w:val="00B717BF"/>
    <w:rsid w:val="00B71A3D"/>
    <w:rsid w:val="00B72F54"/>
    <w:rsid w:val="00B73EE5"/>
    <w:rsid w:val="00B741C4"/>
    <w:rsid w:val="00B756DB"/>
    <w:rsid w:val="00B75757"/>
    <w:rsid w:val="00B75E20"/>
    <w:rsid w:val="00B75F47"/>
    <w:rsid w:val="00B764FC"/>
    <w:rsid w:val="00B775E8"/>
    <w:rsid w:val="00B77AEA"/>
    <w:rsid w:val="00B807D6"/>
    <w:rsid w:val="00B81C8E"/>
    <w:rsid w:val="00B8265D"/>
    <w:rsid w:val="00B84A4F"/>
    <w:rsid w:val="00B86EDB"/>
    <w:rsid w:val="00B872C8"/>
    <w:rsid w:val="00B91439"/>
    <w:rsid w:val="00B91F58"/>
    <w:rsid w:val="00B934C6"/>
    <w:rsid w:val="00B93605"/>
    <w:rsid w:val="00B93B2F"/>
    <w:rsid w:val="00B9404B"/>
    <w:rsid w:val="00B968B3"/>
    <w:rsid w:val="00B96FF0"/>
    <w:rsid w:val="00B97F36"/>
    <w:rsid w:val="00BA0DA1"/>
    <w:rsid w:val="00BA0DB9"/>
    <w:rsid w:val="00BA0FC3"/>
    <w:rsid w:val="00BA139D"/>
    <w:rsid w:val="00BA2936"/>
    <w:rsid w:val="00BA3725"/>
    <w:rsid w:val="00BA3A92"/>
    <w:rsid w:val="00BA498E"/>
    <w:rsid w:val="00BA66C7"/>
    <w:rsid w:val="00BA74EC"/>
    <w:rsid w:val="00BA77A4"/>
    <w:rsid w:val="00BB06A2"/>
    <w:rsid w:val="00BB13D8"/>
    <w:rsid w:val="00BB2953"/>
    <w:rsid w:val="00BB3CF6"/>
    <w:rsid w:val="00BB459D"/>
    <w:rsid w:val="00BB6750"/>
    <w:rsid w:val="00BB6E3B"/>
    <w:rsid w:val="00BB737C"/>
    <w:rsid w:val="00BC0868"/>
    <w:rsid w:val="00BC0A44"/>
    <w:rsid w:val="00BC249E"/>
    <w:rsid w:val="00BC3B92"/>
    <w:rsid w:val="00BC49CC"/>
    <w:rsid w:val="00BC4DC2"/>
    <w:rsid w:val="00BC7D70"/>
    <w:rsid w:val="00BD0242"/>
    <w:rsid w:val="00BD08C3"/>
    <w:rsid w:val="00BD0DB1"/>
    <w:rsid w:val="00BD0FD9"/>
    <w:rsid w:val="00BD1238"/>
    <w:rsid w:val="00BD169A"/>
    <w:rsid w:val="00BD16C3"/>
    <w:rsid w:val="00BD1F02"/>
    <w:rsid w:val="00BD3359"/>
    <w:rsid w:val="00BD3804"/>
    <w:rsid w:val="00BD6485"/>
    <w:rsid w:val="00BD6681"/>
    <w:rsid w:val="00BD718E"/>
    <w:rsid w:val="00BE08C0"/>
    <w:rsid w:val="00BE1581"/>
    <w:rsid w:val="00BE37EC"/>
    <w:rsid w:val="00BE3AD2"/>
    <w:rsid w:val="00BE3BD4"/>
    <w:rsid w:val="00BE3C76"/>
    <w:rsid w:val="00BE4DB3"/>
    <w:rsid w:val="00BE5797"/>
    <w:rsid w:val="00BE6AA5"/>
    <w:rsid w:val="00BE6B48"/>
    <w:rsid w:val="00BE6DE6"/>
    <w:rsid w:val="00BE7038"/>
    <w:rsid w:val="00BE721C"/>
    <w:rsid w:val="00BE7259"/>
    <w:rsid w:val="00BE731C"/>
    <w:rsid w:val="00BF04D2"/>
    <w:rsid w:val="00BF0DE7"/>
    <w:rsid w:val="00BF18F5"/>
    <w:rsid w:val="00BF40AF"/>
    <w:rsid w:val="00BF680B"/>
    <w:rsid w:val="00BF702C"/>
    <w:rsid w:val="00BF7652"/>
    <w:rsid w:val="00C01AB9"/>
    <w:rsid w:val="00C020A6"/>
    <w:rsid w:val="00C02454"/>
    <w:rsid w:val="00C02E68"/>
    <w:rsid w:val="00C037AE"/>
    <w:rsid w:val="00C04B28"/>
    <w:rsid w:val="00C05064"/>
    <w:rsid w:val="00C05277"/>
    <w:rsid w:val="00C059B4"/>
    <w:rsid w:val="00C07116"/>
    <w:rsid w:val="00C0721E"/>
    <w:rsid w:val="00C0728C"/>
    <w:rsid w:val="00C07461"/>
    <w:rsid w:val="00C07AF7"/>
    <w:rsid w:val="00C10463"/>
    <w:rsid w:val="00C109CB"/>
    <w:rsid w:val="00C12922"/>
    <w:rsid w:val="00C13496"/>
    <w:rsid w:val="00C1376D"/>
    <w:rsid w:val="00C155F1"/>
    <w:rsid w:val="00C1571C"/>
    <w:rsid w:val="00C174B0"/>
    <w:rsid w:val="00C17977"/>
    <w:rsid w:val="00C17D52"/>
    <w:rsid w:val="00C21AFC"/>
    <w:rsid w:val="00C21C12"/>
    <w:rsid w:val="00C221F9"/>
    <w:rsid w:val="00C22B5B"/>
    <w:rsid w:val="00C22D5F"/>
    <w:rsid w:val="00C2356A"/>
    <w:rsid w:val="00C2387C"/>
    <w:rsid w:val="00C2398B"/>
    <w:rsid w:val="00C23B03"/>
    <w:rsid w:val="00C2668A"/>
    <w:rsid w:val="00C27CCA"/>
    <w:rsid w:val="00C27DD0"/>
    <w:rsid w:val="00C302B3"/>
    <w:rsid w:val="00C3175E"/>
    <w:rsid w:val="00C317D0"/>
    <w:rsid w:val="00C31BE9"/>
    <w:rsid w:val="00C32B81"/>
    <w:rsid w:val="00C33370"/>
    <w:rsid w:val="00C33E73"/>
    <w:rsid w:val="00C33FA3"/>
    <w:rsid w:val="00C34AF8"/>
    <w:rsid w:val="00C359FF"/>
    <w:rsid w:val="00C373CC"/>
    <w:rsid w:val="00C37634"/>
    <w:rsid w:val="00C4034C"/>
    <w:rsid w:val="00C4200C"/>
    <w:rsid w:val="00C42FD1"/>
    <w:rsid w:val="00C432B0"/>
    <w:rsid w:val="00C444E6"/>
    <w:rsid w:val="00C44AFE"/>
    <w:rsid w:val="00C454FC"/>
    <w:rsid w:val="00C45798"/>
    <w:rsid w:val="00C45813"/>
    <w:rsid w:val="00C45845"/>
    <w:rsid w:val="00C45A79"/>
    <w:rsid w:val="00C50B73"/>
    <w:rsid w:val="00C51D19"/>
    <w:rsid w:val="00C526F6"/>
    <w:rsid w:val="00C527E3"/>
    <w:rsid w:val="00C5348C"/>
    <w:rsid w:val="00C53967"/>
    <w:rsid w:val="00C54116"/>
    <w:rsid w:val="00C56257"/>
    <w:rsid w:val="00C6014C"/>
    <w:rsid w:val="00C604C2"/>
    <w:rsid w:val="00C62356"/>
    <w:rsid w:val="00C62522"/>
    <w:rsid w:val="00C625B5"/>
    <w:rsid w:val="00C6327D"/>
    <w:rsid w:val="00C63771"/>
    <w:rsid w:val="00C6448A"/>
    <w:rsid w:val="00C64896"/>
    <w:rsid w:val="00C6492A"/>
    <w:rsid w:val="00C65E37"/>
    <w:rsid w:val="00C6611B"/>
    <w:rsid w:val="00C6618E"/>
    <w:rsid w:val="00C6780B"/>
    <w:rsid w:val="00C67D87"/>
    <w:rsid w:val="00C71387"/>
    <w:rsid w:val="00C71905"/>
    <w:rsid w:val="00C71EF0"/>
    <w:rsid w:val="00C72A10"/>
    <w:rsid w:val="00C73C10"/>
    <w:rsid w:val="00C75DBB"/>
    <w:rsid w:val="00C76385"/>
    <w:rsid w:val="00C76885"/>
    <w:rsid w:val="00C76BF2"/>
    <w:rsid w:val="00C80DD4"/>
    <w:rsid w:val="00C82423"/>
    <w:rsid w:val="00C82780"/>
    <w:rsid w:val="00C83CAA"/>
    <w:rsid w:val="00C8543E"/>
    <w:rsid w:val="00C85DC9"/>
    <w:rsid w:val="00C86DA8"/>
    <w:rsid w:val="00C906BB"/>
    <w:rsid w:val="00C90CD8"/>
    <w:rsid w:val="00C92AF5"/>
    <w:rsid w:val="00C937B2"/>
    <w:rsid w:val="00C94B89"/>
    <w:rsid w:val="00C94EA3"/>
    <w:rsid w:val="00C951D3"/>
    <w:rsid w:val="00C95E6C"/>
    <w:rsid w:val="00C97119"/>
    <w:rsid w:val="00C977D7"/>
    <w:rsid w:val="00C97F08"/>
    <w:rsid w:val="00CA069A"/>
    <w:rsid w:val="00CA07B2"/>
    <w:rsid w:val="00CA0DF3"/>
    <w:rsid w:val="00CA1299"/>
    <w:rsid w:val="00CA2801"/>
    <w:rsid w:val="00CA3089"/>
    <w:rsid w:val="00CA4200"/>
    <w:rsid w:val="00CA4E03"/>
    <w:rsid w:val="00CA7B7E"/>
    <w:rsid w:val="00CB0327"/>
    <w:rsid w:val="00CB069F"/>
    <w:rsid w:val="00CB1385"/>
    <w:rsid w:val="00CB3FA2"/>
    <w:rsid w:val="00CB5AB0"/>
    <w:rsid w:val="00CB70CF"/>
    <w:rsid w:val="00CB721C"/>
    <w:rsid w:val="00CB74B8"/>
    <w:rsid w:val="00CB74C3"/>
    <w:rsid w:val="00CB78C6"/>
    <w:rsid w:val="00CC1432"/>
    <w:rsid w:val="00CC1C07"/>
    <w:rsid w:val="00CC1D5E"/>
    <w:rsid w:val="00CC2451"/>
    <w:rsid w:val="00CC360D"/>
    <w:rsid w:val="00CC459D"/>
    <w:rsid w:val="00CC4B01"/>
    <w:rsid w:val="00CC4C48"/>
    <w:rsid w:val="00CC5292"/>
    <w:rsid w:val="00CC5FA9"/>
    <w:rsid w:val="00CC64C9"/>
    <w:rsid w:val="00CC6E7A"/>
    <w:rsid w:val="00CC7C78"/>
    <w:rsid w:val="00CD2EEA"/>
    <w:rsid w:val="00CD3013"/>
    <w:rsid w:val="00CD49B6"/>
    <w:rsid w:val="00CD4EA8"/>
    <w:rsid w:val="00CD54AC"/>
    <w:rsid w:val="00CD5800"/>
    <w:rsid w:val="00CD5890"/>
    <w:rsid w:val="00CD5C82"/>
    <w:rsid w:val="00CD5D9C"/>
    <w:rsid w:val="00CD6AC6"/>
    <w:rsid w:val="00CD6BD6"/>
    <w:rsid w:val="00CD7487"/>
    <w:rsid w:val="00CE16B2"/>
    <w:rsid w:val="00CE2EB5"/>
    <w:rsid w:val="00CE303A"/>
    <w:rsid w:val="00CE310B"/>
    <w:rsid w:val="00CE31AA"/>
    <w:rsid w:val="00CE3550"/>
    <w:rsid w:val="00CE542E"/>
    <w:rsid w:val="00CE7905"/>
    <w:rsid w:val="00CE7927"/>
    <w:rsid w:val="00CF01E0"/>
    <w:rsid w:val="00CF0670"/>
    <w:rsid w:val="00CF0881"/>
    <w:rsid w:val="00CF261B"/>
    <w:rsid w:val="00CF2808"/>
    <w:rsid w:val="00CF3067"/>
    <w:rsid w:val="00CF4D78"/>
    <w:rsid w:val="00CF5254"/>
    <w:rsid w:val="00CF5645"/>
    <w:rsid w:val="00CF6062"/>
    <w:rsid w:val="00CF7733"/>
    <w:rsid w:val="00D00258"/>
    <w:rsid w:val="00D00413"/>
    <w:rsid w:val="00D006AB"/>
    <w:rsid w:val="00D00777"/>
    <w:rsid w:val="00D01AFD"/>
    <w:rsid w:val="00D0225D"/>
    <w:rsid w:val="00D04033"/>
    <w:rsid w:val="00D0469F"/>
    <w:rsid w:val="00D04CE4"/>
    <w:rsid w:val="00D05605"/>
    <w:rsid w:val="00D05BFD"/>
    <w:rsid w:val="00D067AD"/>
    <w:rsid w:val="00D07DEA"/>
    <w:rsid w:val="00D10813"/>
    <w:rsid w:val="00D10C4B"/>
    <w:rsid w:val="00D1131C"/>
    <w:rsid w:val="00D11597"/>
    <w:rsid w:val="00D121D1"/>
    <w:rsid w:val="00D12676"/>
    <w:rsid w:val="00D13942"/>
    <w:rsid w:val="00D14DDA"/>
    <w:rsid w:val="00D15EB9"/>
    <w:rsid w:val="00D16236"/>
    <w:rsid w:val="00D174AF"/>
    <w:rsid w:val="00D20DE1"/>
    <w:rsid w:val="00D22C0E"/>
    <w:rsid w:val="00D23A26"/>
    <w:rsid w:val="00D245A3"/>
    <w:rsid w:val="00D260C8"/>
    <w:rsid w:val="00D26EDC"/>
    <w:rsid w:val="00D27ED3"/>
    <w:rsid w:val="00D30185"/>
    <w:rsid w:val="00D3018A"/>
    <w:rsid w:val="00D31DB3"/>
    <w:rsid w:val="00D32804"/>
    <w:rsid w:val="00D3285C"/>
    <w:rsid w:val="00D34494"/>
    <w:rsid w:val="00D35490"/>
    <w:rsid w:val="00D35771"/>
    <w:rsid w:val="00D36CCA"/>
    <w:rsid w:val="00D37341"/>
    <w:rsid w:val="00D4045A"/>
    <w:rsid w:val="00D40ED6"/>
    <w:rsid w:val="00D41417"/>
    <w:rsid w:val="00D419FC"/>
    <w:rsid w:val="00D42745"/>
    <w:rsid w:val="00D4291D"/>
    <w:rsid w:val="00D439E3"/>
    <w:rsid w:val="00D44680"/>
    <w:rsid w:val="00D500A7"/>
    <w:rsid w:val="00D5054E"/>
    <w:rsid w:val="00D50B83"/>
    <w:rsid w:val="00D50BA5"/>
    <w:rsid w:val="00D5181E"/>
    <w:rsid w:val="00D53CED"/>
    <w:rsid w:val="00D54D49"/>
    <w:rsid w:val="00D55375"/>
    <w:rsid w:val="00D55C32"/>
    <w:rsid w:val="00D565A5"/>
    <w:rsid w:val="00D6053A"/>
    <w:rsid w:val="00D615D7"/>
    <w:rsid w:val="00D62281"/>
    <w:rsid w:val="00D6229F"/>
    <w:rsid w:val="00D6255B"/>
    <w:rsid w:val="00D633FB"/>
    <w:rsid w:val="00D639E5"/>
    <w:rsid w:val="00D64DA5"/>
    <w:rsid w:val="00D64E27"/>
    <w:rsid w:val="00D65680"/>
    <w:rsid w:val="00D66304"/>
    <w:rsid w:val="00D66809"/>
    <w:rsid w:val="00D66E27"/>
    <w:rsid w:val="00D67445"/>
    <w:rsid w:val="00D67657"/>
    <w:rsid w:val="00D67813"/>
    <w:rsid w:val="00D67F85"/>
    <w:rsid w:val="00D705CC"/>
    <w:rsid w:val="00D71C63"/>
    <w:rsid w:val="00D72F9A"/>
    <w:rsid w:val="00D731FC"/>
    <w:rsid w:val="00D73E8D"/>
    <w:rsid w:val="00D745B5"/>
    <w:rsid w:val="00D74D09"/>
    <w:rsid w:val="00D75550"/>
    <w:rsid w:val="00D77C63"/>
    <w:rsid w:val="00D80DB2"/>
    <w:rsid w:val="00D81980"/>
    <w:rsid w:val="00D81A94"/>
    <w:rsid w:val="00D81B02"/>
    <w:rsid w:val="00D81FDC"/>
    <w:rsid w:val="00D82B22"/>
    <w:rsid w:val="00D82B77"/>
    <w:rsid w:val="00D837FD"/>
    <w:rsid w:val="00D83841"/>
    <w:rsid w:val="00D839AC"/>
    <w:rsid w:val="00D841A9"/>
    <w:rsid w:val="00D8464B"/>
    <w:rsid w:val="00D84DD1"/>
    <w:rsid w:val="00D85EAA"/>
    <w:rsid w:val="00D8630E"/>
    <w:rsid w:val="00D866C9"/>
    <w:rsid w:val="00D86CC0"/>
    <w:rsid w:val="00D911C7"/>
    <w:rsid w:val="00D91CE7"/>
    <w:rsid w:val="00D92423"/>
    <w:rsid w:val="00D93BBA"/>
    <w:rsid w:val="00D9563F"/>
    <w:rsid w:val="00D95708"/>
    <w:rsid w:val="00D95E3E"/>
    <w:rsid w:val="00D95FA3"/>
    <w:rsid w:val="00D972D5"/>
    <w:rsid w:val="00D9779D"/>
    <w:rsid w:val="00DA0D3B"/>
    <w:rsid w:val="00DA272A"/>
    <w:rsid w:val="00DA3904"/>
    <w:rsid w:val="00DA42F4"/>
    <w:rsid w:val="00DA72A3"/>
    <w:rsid w:val="00DA7A7A"/>
    <w:rsid w:val="00DA7B82"/>
    <w:rsid w:val="00DA7EDC"/>
    <w:rsid w:val="00DB08E0"/>
    <w:rsid w:val="00DB1E86"/>
    <w:rsid w:val="00DB242A"/>
    <w:rsid w:val="00DB6DEC"/>
    <w:rsid w:val="00DC087C"/>
    <w:rsid w:val="00DC09BF"/>
    <w:rsid w:val="00DC1064"/>
    <w:rsid w:val="00DC13A6"/>
    <w:rsid w:val="00DC277D"/>
    <w:rsid w:val="00DC39E2"/>
    <w:rsid w:val="00DD034C"/>
    <w:rsid w:val="00DD12F3"/>
    <w:rsid w:val="00DD1A75"/>
    <w:rsid w:val="00DD2A38"/>
    <w:rsid w:val="00DD3BA2"/>
    <w:rsid w:val="00DD4265"/>
    <w:rsid w:val="00DD488D"/>
    <w:rsid w:val="00DD493E"/>
    <w:rsid w:val="00DD597B"/>
    <w:rsid w:val="00DD7118"/>
    <w:rsid w:val="00DE0BE7"/>
    <w:rsid w:val="00DE0E5F"/>
    <w:rsid w:val="00DE1491"/>
    <w:rsid w:val="00DE4068"/>
    <w:rsid w:val="00DE43AD"/>
    <w:rsid w:val="00DE446E"/>
    <w:rsid w:val="00DE548B"/>
    <w:rsid w:val="00DE58D9"/>
    <w:rsid w:val="00DE68EF"/>
    <w:rsid w:val="00DF09E3"/>
    <w:rsid w:val="00DF214F"/>
    <w:rsid w:val="00DF2805"/>
    <w:rsid w:val="00DF36D2"/>
    <w:rsid w:val="00DF42C4"/>
    <w:rsid w:val="00DF45BF"/>
    <w:rsid w:val="00DF6021"/>
    <w:rsid w:val="00DF603F"/>
    <w:rsid w:val="00DF68C2"/>
    <w:rsid w:val="00E006C2"/>
    <w:rsid w:val="00E00EA3"/>
    <w:rsid w:val="00E01058"/>
    <w:rsid w:val="00E0214C"/>
    <w:rsid w:val="00E02933"/>
    <w:rsid w:val="00E0361C"/>
    <w:rsid w:val="00E06E98"/>
    <w:rsid w:val="00E07C69"/>
    <w:rsid w:val="00E07D81"/>
    <w:rsid w:val="00E101BF"/>
    <w:rsid w:val="00E105CA"/>
    <w:rsid w:val="00E1069E"/>
    <w:rsid w:val="00E10DD7"/>
    <w:rsid w:val="00E1144D"/>
    <w:rsid w:val="00E1172C"/>
    <w:rsid w:val="00E11DBC"/>
    <w:rsid w:val="00E15AB7"/>
    <w:rsid w:val="00E16F46"/>
    <w:rsid w:val="00E17687"/>
    <w:rsid w:val="00E17C6F"/>
    <w:rsid w:val="00E17DAE"/>
    <w:rsid w:val="00E203FE"/>
    <w:rsid w:val="00E2147A"/>
    <w:rsid w:val="00E21BD6"/>
    <w:rsid w:val="00E2276F"/>
    <w:rsid w:val="00E2358A"/>
    <w:rsid w:val="00E23A9A"/>
    <w:rsid w:val="00E24E79"/>
    <w:rsid w:val="00E25173"/>
    <w:rsid w:val="00E251F3"/>
    <w:rsid w:val="00E25329"/>
    <w:rsid w:val="00E26118"/>
    <w:rsid w:val="00E26A98"/>
    <w:rsid w:val="00E26EFF"/>
    <w:rsid w:val="00E27553"/>
    <w:rsid w:val="00E2778E"/>
    <w:rsid w:val="00E310A0"/>
    <w:rsid w:val="00E3112C"/>
    <w:rsid w:val="00E314FD"/>
    <w:rsid w:val="00E3187C"/>
    <w:rsid w:val="00E32255"/>
    <w:rsid w:val="00E3351E"/>
    <w:rsid w:val="00E3541C"/>
    <w:rsid w:val="00E3626E"/>
    <w:rsid w:val="00E36DA2"/>
    <w:rsid w:val="00E37804"/>
    <w:rsid w:val="00E37D42"/>
    <w:rsid w:val="00E40F26"/>
    <w:rsid w:val="00E41C8D"/>
    <w:rsid w:val="00E42730"/>
    <w:rsid w:val="00E427C9"/>
    <w:rsid w:val="00E42D07"/>
    <w:rsid w:val="00E43B58"/>
    <w:rsid w:val="00E46943"/>
    <w:rsid w:val="00E46CB9"/>
    <w:rsid w:val="00E47202"/>
    <w:rsid w:val="00E474E1"/>
    <w:rsid w:val="00E510B2"/>
    <w:rsid w:val="00E517B3"/>
    <w:rsid w:val="00E52E7D"/>
    <w:rsid w:val="00E551E7"/>
    <w:rsid w:val="00E571B3"/>
    <w:rsid w:val="00E573A7"/>
    <w:rsid w:val="00E61405"/>
    <w:rsid w:val="00E6162A"/>
    <w:rsid w:val="00E61B1B"/>
    <w:rsid w:val="00E61CE8"/>
    <w:rsid w:val="00E624CD"/>
    <w:rsid w:val="00E6258E"/>
    <w:rsid w:val="00E63D45"/>
    <w:rsid w:val="00E64355"/>
    <w:rsid w:val="00E64DE3"/>
    <w:rsid w:val="00E656EA"/>
    <w:rsid w:val="00E65D14"/>
    <w:rsid w:val="00E67085"/>
    <w:rsid w:val="00E7071E"/>
    <w:rsid w:val="00E71626"/>
    <w:rsid w:val="00E732F6"/>
    <w:rsid w:val="00E73739"/>
    <w:rsid w:val="00E74097"/>
    <w:rsid w:val="00E74693"/>
    <w:rsid w:val="00E747C8"/>
    <w:rsid w:val="00E74A6F"/>
    <w:rsid w:val="00E74B92"/>
    <w:rsid w:val="00E74C4E"/>
    <w:rsid w:val="00E74CD5"/>
    <w:rsid w:val="00E80022"/>
    <w:rsid w:val="00E817CC"/>
    <w:rsid w:val="00E82DAA"/>
    <w:rsid w:val="00E849C5"/>
    <w:rsid w:val="00E8601F"/>
    <w:rsid w:val="00E86227"/>
    <w:rsid w:val="00E86968"/>
    <w:rsid w:val="00E87C4D"/>
    <w:rsid w:val="00E91DCB"/>
    <w:rsid w:val="00E955A6"/>
    <w:rsid w:val="00E95EA4"/>
    <w:rsid w:val="00E97A5A"/>
    <w:rsid w:val="00EA06CF"/>
    <w:rsid w:val="00EA188E"/>
    <w:rsid w:val="00EA1FD3"/>
    <w:rsid w:val="00EA23A7"/>
    <w:rsid w:val="00EA38B4"/>
    <w:rsid w:val="00EA607D"/>
    <w:rsid w:val="00EA792E"/>
    <w:rsid w:val="00EB02B0"/>
    <w:rsid w:val="00EB09B3"/>
    <w:rsid w:val="00EB0CF0"/>
    <w:rsid w:val="00EB1B97"/>
    <w:rsid w:val="00EB2B12"/>
    <w:rsid w:val="00EB43DC"/>
    <w:rsid w:val="00EB5267"/>
    <w:rsid w:val="00EB5E6E"/>
    <w:rsid w:val="00EB6A84"/>
    <w:rsid w:val="00EB6B51"/>
    <w:rsid w:val="00EB6E95"/>
    <w:rsid w:val="00EB76FB"/>
    <w:rsid w:val="00EB7D74"/>
    <w:rsid w:val="00EC5108"/>
    <w:rsid w:val="00EC5720"/>
    <w:rsid w:val="00EC5CA9"/>
    <w:rsid w:val="00EC64B7"/>
    <w:rsid w:val="00EC6C7D"/>
    <w:rsid w:val="00EC70FD"/>
    <w:rsid w:val="00ED1054"/>
    <w:rsid w:val="00ED16B3"/>
    <w:rsid w:val="00ED2BDE"/>
    <w:rsid w:val="00ED2F25"/>
    <w:rsid w:val="00ED4540"/>
    <w:rsid w:val="00ED45EF"/>
    <w:rsid w:val="00ED4DDC"/>
    <w:rsid w:val="00ED60AE"/>
    <w:rsid w:val="00ED731D"/>
    <w:rsid w:val="00EE0810"/>
    <w:rsid w:val="00EE25C7"/>
    <w:rsid w:val="00EE3701"/>
    <w:rsid w:val="00EE3709"/>
    <w:rsid w:val="00EE4551"/>
    <w:rsid w:val="00EE4AF3"/>
    <w:rsid w:val="00EE6BE4"/>
    <w:rsid w:val="00EF0990"/>
    <w:rsid w:val="00EF0D59"/>
    <w:rsid w:val="00EF19D0"/>
    <w:rsid w:val="00EF1D9C"/>
    <w:rsid w:val="00EF2189"/>
    <w:rsid w:val="00EF25CD"/>
    <w:rsid w:val="00EF2A25"/>
    <w:rsid w:val="00EF3984"/>
    <w:rsid w:val="00EF3AAD"/>
    <w:rsid w:val="00EF43AA"/>
    <w:rsid w:val="00EF474C"/>
    <w:rsid w:val="00EF54B0"/>
    <w:rsid w:val="00EF67FF"/>
    <w:rsid w:val="00EF6D27"/>
    <w:rsid w:val="00EF6DF1"/>
    <w:rsid w:val="00F0122A"/>
    <w:rsid w:val="00F01A8E"/>
    <w:rsid w:val="00F04FFC"/>
    <w:rsid w:val="00F0532B"/>
    <w:rsid w:val="00F07362"/>
    <w:rsid w:val="00F078A0"/>
    <w:rsid w:val="00F07912"/>
    <w:rsid w:val="00F07C08"/>
    <w:rsid w:val="00F107E5"/>
    <w:rsid w:val="00F1192F"/>
    <w:rsid w:val="00F12D33"/>
    <w:rsid w:val="00F136BF"/>
    <w:rsid w:val="00F14823"/>
    <w:rsid w:val="00F1551C"/>
    <w:rsid w:val="00F159B4"/>
    <w:rsid w:val="00F16038"/>
    <w:rsid w:val="00F16455"/>
    <w:rsid w:val="00F17816"/>
    <w:rsid w:val="00F1798D"/>
    <w:rsid w:val="00F17DB1"/>
    <w:rsid w:val="00F20B9A"/>
    <w:rsid w:val="00F21F5B"/>
    <w:rsid w:val="00F2259B"/>
    <w:rsid w:val="00F243CD"/>
    <w:rsid w:val="00F2494C"/>
    <w:rsid w:val="00F25673"/>
    <w:rsid w:val="00F26D64"/>
    <w:rsid w:val="00F27236"/>
    <w:rsid w:val="00F2765D"/>
    <w:rsid w:val="00F2769E"/>
    <w:rsid w:val="00F27754"/>
    <w:rsid w:val="00F27FDA"/>
    <w:rsid w:val="00F30A4D"/>
    <w:rsid w:val="00F30C23"/>
    <w:rsid w:val="00F310C4"/>
    <w:rsid w:val="00F31625"/>
    <w:rsid w:val="00F316C6"/>
    <w:rsid w:val="00F32C10"/>
    <w:rsid w:val="00F335EC"/>
    <w:rsid w:val="00F33E43"/>
    <w:rsid w:val="00F351B9"/>
    <w:rsid w:val="00F359E2"/>
    <w:rsid w:val="00F37BAE"/>
    <w:rsid w:val="00F40C9D"/>
    <w:rsid w:val="00F420A1"/>
    <w:rsid w:val="00F42C96"/>
    <w:rsid w:val="00F438CE"/>
    <w:rsid w:val="00F450B2"/>
    <w:rsid w:val="00F46698"/>
    <w:rsid w:val="00F468ED"/>
    <w:rsid w:val="00F46D8A"/>
    <w:rsid w:val="00F47E3F"/>
    <w:rsid w:val="00F52E39"/>
    <w:rsid w:val="00F52F28"/>
    <w:rsid w:val="00F53A68"/>
    <w:rsid w:val="00F53BA6"/>
    <w:rsid w:val="00F54A24"/>
    <w:rsid w:val="00F54DF5"/>
    <w:rsid w:val="00F55733"/>
    <w:rsid w:val="00F55EE8"/>
    <w:rsid w:val="00F57D05"/>
    <w:rsid w:val="00F60DF0"/>
    <w:rsid w:val="00F62E46"/>
    <w:rsid w:val="00F6308F"/>
    <w:rsid w:val="00F64DA7"/>
    <w:rsid w:val="00F653A6"/>
    <w:rsid w:val="00F66354"/>
    <w:rsid w:val="00F6751D"/>
    <w:rsid w:val="00F71D0E"/>
    <w:rsid w:val="00F72144"/>
    <w:rsid w:val="00F735AC"/>
    <w:rsid w:val="00F74A8E"/>
    <w:rsid w:val="00F756B3"/>
    <w:rsid w:val="00F75C6B"/>
    <w:rsid w:val="00F76B4F"/>
    <w:rsid w:val="00F80095"/>
    <w:rsid w:val="00F80C3F"/>
    <w:rsid w:val="00F80DFE"/>
    <w:rsid w:val="00F80E2F"/>
    <w:rsid w:val="00F8194D"/>
    <w:rsid w:val="00F820BC"/>
    <w:rsid w:val="00F821BF"/>
    <w:rsid w:val="00F8248F"/>
    <w:rsid w:val="00F82834"/>
    <w:rsid w:val="00F829F4"/>
    <w:rsid w:val="00F833CD"/>
    <w:rsid w:val="00F8455A"/>
    <w:rsid w:val="00F850A6"/>
    <w:rsid w:val="00F85410"/>
    <w:rsid w:val="00F85F2E"/>
    <w:rsid w:val="00F863EA"/>
    <w:rsid w:val="00F86917"/>
    <w:rsid w:val="00F90D44"/>
    <w:rsid w:val="00F9222A"/>
    <w:rsid w:val="00F92714"/>
    <w:rsid w:val="00F94FE4"/>
    <w:rsid w:val="00F9634E"/>
    <w:rsid w:val="00F96990"/>
    <w:rsid w:val="00F96A55"/>
    <w:rsid w:val="00FA0927"/>
    <w:rsid w:val="00FA4098"/>
    <w:rsid w:val="00FA41A8"/>
    <w:rsid w:val="00FA439C"/>
    <w:rsid w:val="00FA6E0D"/>
    <w:rsid w:val="00FB1410"/>
    <w:rsid w:val="00FB1C76"/>
    <w:rsid w:val="00FB3632"/>
    <w:rsid w:val="00FB3830"/>
    <w:rsid w:val="00FB46FB"/>
    <w:rsid w:val="00FB4836"/>
    <w:rsid w:val="00FB4A0A"/>
    <w:rsid w:val="00FB66C3"/>
    <w:rsid w:val="00FB7D33"/>
    <w:rsid w:val="00FC016C"/>
    <w:rsid w:val="00FC04D0"/>
    <w:rsid w:val="00FC0AAC"/>
    <w:rsid w:val="00FC1733"/>
    <w:rsid w:val="00FC1D4B"/>
    <w:rsid w:val="00FC2F96"/>
    <w:rsid w:val="00FC4867"/>
    <w:rsid w:val="00FC4CAC"/>
    <w:rsid w:val="00FC4D5D"/>
    <w:rsid w:val="00FC594E"/>
    <w:rsid w:val="00FC5FB1"/>
    <w:rsid w:val="00FC7D0F"/>
    <w:rsid w:val="00FD05E8"/>
    <w:rsid w:val="00FD0A1A"/>
    <w:rsid w:val="00FD0F67"/>
    <w:rsid w:val="00FD1E18"/>
    <w:rsid w:val="00FD1FDF"/>
    <w:rsid w:val="00FD2EA4"/>
    <w:rsid w:val="00FD39F7"/>
    <w:rsid w:val="00FD4210"/>
    <w:rsid w:val="00FD4795"/>
    <w:rsid w:val="00FD6744"/>
    <w:rsid w:val="00FD6833"/>
    <w:rsid w:val="00FD6D2A"/>
    <w:rsid w:val="00FD7FF3"/>
    <w:rsid w:val="00FE0AA8"/>
    <w:rsid w:val="00FE103A"/>
    <w:rsid w:val="00FE13C1"/>
    <w:rsid w:val="00FE1BE9"/>
    <w:rsid w:val="00FE1E4D"/>
    <w:rsid w:val="00FE223D"/>
    <w:rsid w:val="00FE269C"/>
    <w:rsid w:val="00FE51C6"/>
    <w:rsid w:val="00FE7386"/>
    <w:rsid w:val="00FE7FEF"/>
    <w:rsid w:val="00FF0EBD"/>
    <w:rsid w:val="00FF0F20"/>
    <w:rsid w:val="00FF1ED3"/>
    <w:rsid w:val="00FF2398"/>
    <w:rsid w:val="00FF285B"/>
    <w:rsid w:val="00FF2E45"/>
    <w:rsid w:val="00FF3B8E"/>
    <w:rsid w:val="00FF56AA"/>
    <w:rsid w:val="00FF6352"/>
    <w:rsid w:val="00FF6760"/>
    <w:rsid w:val="00FF6DB1"/>
    <w:rsid w:val="00FF7A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C2F"/>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D15"/>
    <w:pPr>
      <w:ind w:left="720"/>
      <w:contextualSpacing/>
    </w:pPr>
  </w:style>
  <w:style w:type="paragraph" w:styleId="Header">
    <w:name w:val="header"/>
    <w:basedOn w:val="Normal"/>
    <w:link w:val="HeaderChar"/>
    <w:uiPriority w:val="99"/>
    <w:semiHidden/>
    <w:unhideWhenUsed/>
    <w:rsid w:val="006071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7152"/>
    <w:rPr>
      <w:lang w:val="fr-FR"/>
    </w:rPr>
  </w:style>
  <w:style w:type="paragraph" w:styleId="Footer">
    <w:name w:val="footer"/>
    <w:basedOn w:val="Normal"/>
    <w:link w:val="FooterChar"/>
    <w:uiPriority w:val="99"/>
    <w:unhideWhenUsed/>
    <w:rsid w:val="00607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152"/>
    <w:rPr>
      <w:lang w:val="fr-FR"/>
    </w:rPr>
  </w:style>
  <w:style w:type="paragraph" w:styleId="FootnoteText">
    <w:name w:val="footnote text"/>
    <w:basedOn w:val="Normal"/>
    <w:link w:val="FootnoteTextChar"/>
    <w:uiPriority w:val="99"/>
    <w:semiHidden/>
    <w:unhideWhenUsed/>
    <w:rsid w:val="007A71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711E"/>
    <w:rPr>
      <w:sz w:val="20"/>
      <w:szCs w:val="20"/>
      <w:lang w:val="fr-FR"/>
    </w:rPr>
  </w:style>
  <w:style w:type="character" w:styleId="FootnoteReference">
    <w:name w:val="footnote reference"/>
    <w:basedOn w:val="DefaultParagraphFont"/>
    <w:uiPriority w:val="99"/>
    <w:semiHidden/>
    <w:unhideWhenUsed/>
    <w:rsid w:val="007A711E"/>
    <w:rPr>
      <w:vertAlign w:val="superscript"/>
    </w:rPr>
  </w:style>
  <w:style w:type="paragraph" w:styleId="BalloonText">
    <w:name w:val="Balloon Text"/>
    <w:basedOn w:val="Normal"/>
    <w:link w:val="BalloonTextChar"/>
    <w:uiPriority w:val="99"/>
    <w:semiHidden/>
    <w:unhideWhenUsed/>
    <w:rsid w:val="003D6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5EA"/>
    <w:rPr>
      <w:rFonts w:ascii="Tahoma"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50" b="1">
                <a:solidFill>
                  <a:schemeClr val="tx2">
                    <a:lumMod val="75000"/>
                  </a:schemeClr>
                </a:solidFill>
                <a:latin typeface="+mj-lt"/>
              </a:rPr>
              <a:t>Figure</a:t>
            </a:r>
            <a:r>
              <a:rPr lang="en-US" sz="1050" b="1" baseline="0">
                <a:solidFill>
                  <a:schemeClr val="tx2">
                    <a:lumMod val="75000"/>
                  </a:schemeClr>
                </a:solidFill>
                <a:latin typeface="+mj-lt"/>
              </a:rPr>
              <a:t> 1:</a:t>
            </a:r>
            <a:r>
              <a:rPr lang="en-US" sz="1050" baseline="0">
                <a:solidFill>
                  <a:schemeClr val="tx2">
                    <a:lumMod val="75000"/>
                  </a:schemeClr>
                </a:solidFill>
                <a:latin typeface="+mj-lt"/>
              </a:rPr>
              <a:t>  </a:t>
            </a:r>
            <a:r>
              <a:rPr lang="en-US" sz="1000" b="0" baseline="0">
                <a:latin typeface="+mj-lt"/>
              </a:rPr>
              <a:t>Croissance économique, Indice (1999 =100)</a:t>
            </a:r>
            <a:endParaRPr lang="en-US" sz="1000" b="0">
              <a:latin typeface="+mj-lt"/>
            </a:endParaRPr>
          </a:p>
        </c:rich>
      </c:tx>
      <c:layout/>
      <c:overlay val="1"/>
    </c:title>
    <c:plotArea>
      <c:layout>
        <c:manualLayout>
          <c:layoutTarget val="inner"/>
          <c:xMode val="edge"/>
          <c:yMode val="edge"/>
          <c:x val="0.10942007252217645"/>
          <c:y val="0.13962473440819895"/>
          <c:w val="0.86974663753560788"/>
          <c:h val="0.64206416475469796"/>
        </c:manualLayout>
      </c:layout>
      <c:lineChart>
        <c:grouping val="standard"/>
        <c:ser>
          <c:idx val="0"/>
          <c:order val="0"/>
          <c:tx>
            <c:strRef>
              <c:f>Sheet1!$B$1</c:f>
              <c:strCache>
                <c:ptCount val="1"/>
                <c:pt idx="0">
                  <c:v>Sénégal</c:v>
                </c:pt>
              </c:strCache>
            </c:strRef>
          </c:tx>
          <c:cat>
            <c:numRef>
              <c:f>Sheet1!$A$2:$A$13</c:f>
              <c:numCache>
                <c:formatCode>General</c:formatCode>
                <c:ptCount val="12"/>
                <c:pt idx="0">
                  <c:v>1999</c:v>
                </c:pt>
                <c:pt idx="1">
                  <c:v>2000</c:v>
                </c:pt>
                <c:pt idx="2">
                  <c:v>2001</c:v>
                </c:pt>
                <c:pt idx="3">
                  <c:v>2002</c:v>
                </c:pt>
                <c:pt idx="4">
                  <c:v>2003</c:v>
                </c:pt>
                <c:pt idx="5">
                  <c:v>2004</c:v>
                </c:pt>
                <c:pt idx="6">
                  <c:v>2005</c:v>
                </c:pt>
                <c:pt idx="7">
                  <c:v>2006</c:v>
                </c:pt>
                <c:pt idx="8">
                  <c:v>2007</c:v>
                </c:pt>
                <c:pt idx="9">
                  <c:v>2008</c:v>
                </c:pt>
                <c:pt idx="10">
                  <c:v>2009</c:v>
                </c:pt>
                <c:pt idx="11">
                  <c:v>2010</c:v>
                </c:pt>
              </c:numCache>
            </c:numRef>
          </c:cat>
          <c:val>
            <c:numRef>
              <c:f>Sheet1!$B$2:$B$13</c:f>
              <c:numCache>
                <c:formatCode>General</c:formatCode>
                <c:ptCount val="12"/>
                <c:pt idx="0">
                  <c:v>100</c:v>
                </c:pt>
                <c:pt idx="1">
                  <c:v>50</c:v>
                </c:pt>
                <c:pt idx="2">
                  <c:v>72</c:v>
                </c:pt>
                <c:pt idx="3">
                  <c:v>10</c:v>
                </c:pt>
                <c:pt idx="4">
                  <c:v>105</c:v>
                </c:pt>
                <c:pt idx="5">
                  <c:v>93</c:v>
                </c:pt>
                <c:pt idx="6">
                  <c:v>89</c:v>
                </c:pt>
                <c:pt idx="7">
                  <c:v>40</c:v>
                </c:pt>
                <c:pt idx="8">
                  <c:v>77</c:v>
                </c:pt>
                <c:pt idx="9">
                  <c:v>52</c:v>
                </c:pt>
                <c:pt idx="10">
                  <c:v>35</c:v>
                </c:pt>
                <c:pt idx="11">
                  <c:v>66</c:v>
                </c:pt>
              </c:numCache>
            </c:numRef>
          </c:val>
        </c:ser>
        <c:ser>
          <c:idx val="1"/>
          <c:order val="1"/>
          <c:tx>
            <c:strRef>
              <c:f>Sheet1!$C$1</c:f>
              <c:strCache>
                <c:ptCount val="1"/>
                <c:pt idx="0">
                  <c:v>Afrique Sub-Sahereenne</c:v>
                </c:pt>
              </c:strCache>
            </c:strRef>
          </c:tx>
          <c:cat>
            <c:numRef>
              <c:f>Sheet1!$A$2:$A$13</c:f>
              <c:numCache>
                <c:formatCode>General</c:formatCode>
                <c:ptCount val="12"/>
                <c:pt idx="0">
                  <c:v>1999</c:v>
                </c:pt>
                <c:pt idx="1">
                  <c:v>2000</c:v>
                </c:pt>
                <c:pt idx="2">
                  <c:v>2001</c:v>
                </c:pt>
                <c:pt idx="3">
                  <c:v>2002</c:v>
                </c:pt>
                <c:pt idx="4">
                  <c:v>2003</c:v>
                </c:pt>
                <c:pt idx="5">
                  <c:v>2004</c:v>
                </c:pt>
                <c:pt idx="6">
                  <c:v>2005</c:v>
                </c:pt>
                <c:pt idx="7">
                  <c:v>2006</c:v>
                </c:pt>
                <c:pt idx="8">
                  <c:v>2007</c:v>
                </c:pt>
                <c:pt idx="9">
                  <c:v>2008</c:v>
                </c:pt>
                <c:pt idx="10">
                  <c:v>2009</c:v>
                </c:pt>
                <c:pt idx="11">
                  <c:v>2010</c:v>
                </c:pt>
              </c:numCache>
            </c:numRef>
          </c:cat>
          <c:val>
            <c:numRef>
              <c:f>Sheet1!$C$2:$C$13</c:f>
              <c:numCache>
                <c:formatCode>General</c:formatCode>
                <c:ptCount val="12"/>
                <c:pt idx="0">
                  <c:v>100</c:v>
                </c:pt>
                <c:pt idx="1">
                  <c:v>146</c:v>
                </c:pt>
                <c:pt idx="2">
                  <c:v>148</c:v>
                </c:pt>
                <c:pt idx="3">
                  <c:v>135</c:v>
                </c:pt>
                <c:pt idx="4">
                  <c:v>166</c:v>
                </c:pt>
                <c:pt idx="5">
                  <c:v>247</c:v>
                </c:pt>
                <c:pt idx="6">
                  <c:v>227</c:v>
                </c:pt>
                <c:pt idx="7">
                  <c:v>249</c:v>
                </c:pt>
                <c:pt idx="8">
                  <c:v>256</c:v>
                </c:pt>
                <c:pt idx="9">
                  <c:v>202</c:v>
                </c:pt>
                <c:pt idx="10">
                  <c:v>66</c:v>
                </c:pt>
                <c:pt idx="11">
                  <c:v>191</c:v>
                </c:pt>
              </c:numCache>
            </c:numRef>
          </c:val>
        </c:ser>
        <c:marker val="1"/>
        <c:axId val="49247744"/>
        <c:axId val="49249280"/>
      </c:lineChart>
      <c:catAx>
        <c:axId val="49247744"/>
        <c:scaling>
          <c:orientation val="minMax"/>
        </c:scaling>
        <c:axPos val="b"/>
        <c:numFmt formatCode="General" sourceLinked="1"/>
        <c:tickLblPos val="nextTo"/>
        <c:spPr>
          <a:ln>
            <a:noFill/>
          </a:ln>
        </c:spPr>
        <c:crossAx val="49249280"/>
        <c:crosses val="autoZero"/>
        <c:auto val="1"/>
        <c:lblAlgn val="ctr"/>
        <c:lblOffset val="100"/>
      </c:catAx>
      <c:valAx>
        <c:axId val="49249280"/>
        <c:scaling>
          <c:orientation val="minMax"/>
        </c:scaling>
        <c:axPos val="l"/>
        <c:majorGridlines>
          <c:spPr>
            <a:ln w="15875">
              <a:solidFill>
                <a:sysClr val="window" lastClr="FFFFFF"/>
              </a:solidFill>
            </a:ln>
          </c:spPr>
        </c:majorGridlines>
        <c:title>
          <c:tx>
            <c:rich>
              <a:bodyPr rot="-5400000" vert="horz"/>
              <a:lstStyle/>
              <a:p>
                <a:pPr>
                  <a:defRPr/>
                </a:pPr>
                <a:r>
                  <a:rPr lang="en-US"/>
                  <a:t>Indice:</a:t>
                </a:r>
                <a:r>
                  <a:rPr lang="en-US" baseline="0"/>
                  <a:t> </a:t>
                </a:r>
                <a:r>
                  <a:rPr lang="en-US"/>
                  <a:t>1999 = 100</a:t>
                </a:r>
              </a:p>
            </c:rich>
          </c:tx>
          <c:layout>
            <c:manualLayout>
              <c:xMode val="edge"/>
              <c:yMode val="edge"/>
              <c:x val="1.0554975850240246E-2"/>
              <c:y val="0.34004249189233732"/>
            </c:manualLayout>
          </c:layout>
        </c:title>
        <c:numFmt formatCode="General" sourceLinked="1"/>
        <c:tickLblPos val="nextTo"/>
        <c:spPr>
          <a:ln>
            <a:noFill/>
          </a:ln>
        </c:spPr>
        <c:crossAx val="49247744"/>
        <c:crosses val="autoZero"/>
        <c:crossBetween val="between"/>
      </c:valAx>
      <c:spPr>
        <a:solidFill>
          <a:schemeClr val="accent6">
            <a:lumMod val="60000"/>
            <a:lumOff val="40000"/>
          </a:schemeClr>
        </a:solidFill>
      </c:spPr>
    </c:plotArea>
    <c:plotVisOnly val="1"/>
  </c:chart>
  <c:spPr>
    <a:solidFill>
      <a:schemeClr val="accent6">
        <a:lumMod val="60000"/>
        <a:lumOff val="40000"/>
      </a:schemeClr>
    </a:solidFill>
    <a:ln>
      <a:noFill/>
    </a:ln>
  </c:spPr>
  <c:txPr>
    <a:bodyPr/>
    <a:lstStyle/>
    <a:p>
      <a:pPr>
        <a:defRPr>
          <a:latin typeface="+mj-lt"/>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00">
                <a:solidFill>
                  <a:schemeClr val="accent1">
                    <a:lumMod val="75000"/>
                  </a:schemeClr>
                </a:solidFill>
                <a:latin typeface="+mj-lt"/>
              </a:rPr>
              <a:t>Figure</a:t>
            </a:r>
            <a:r>
              <a:rPr lang="en-US" sz="1000" baseline="0">
                <a:solidFill>
                  <a:schemeClr val="accent1">
                    <a:lumMod val="75000"/>
                  </a:schemeClr>
                </a:solidFill>
                <a:latin typeface="+mj-lt"/>
              </a:rPr>
              <a:t> 2</a:t>
            </a:r>
            <a:r>
              <a:rPr lang="en-US" sz="1000" baseline="0">
                <a:solidFill>
                  <a:srgbClr val="0033CC"/>
                </a:solidFill>
                <a:latin typeface="+mj-lt"/>
              </a:rPr>
              <a:t>: </a:t>
            </a:r>
            <a:r>
              <a:rPr lang="en-US" sz="1000" b="0" baseline="0">
                <a:latin typeface="+mj-lt"/>
              </a:rPr>
              <a:t>Taux de Pauvret</a:t>
            </a:r>
            <a:r>
              <a:rPr lang="en-US" sz="1000" b="0" baseline="0">
                <a:latin typeface="Calibri"/>
                <a:cs typeface="Calibri"/>
              </a:rPr>
              <a:t>é</a:t>
            </a:r>
            <a:r>
              <a:rPr lang="en-US" sz="1000" b="1" baseline="0">
                <a:solidFill>
                  <a:srgbClr val="FF0000"/>
                </a:solidFill>
                <a:latin typeface="+mj-lt"/>
              </a:rPr>
              <a:t> </a:t>
            </a:r>
            <a:r>
              <a:rPr lang="en-US" sz="1000" b="0" baseline="0">
                <a:latin typeface="+mj-lt"/>
              </a:rPr>
              <a:t>et Taux Croissance Annuel Moyen par t</a:t>
            </a:r>
            <a:r>
              <a:rPr lang="en-US" sz="1000" b="0" baseline="0">
                <a:latin typeface="+mj-lt"/>
                <a:cs typeface="Arial"/>
              </a:rPr>
              <a:t>ê</a:t>
            </a:r>
            <a:r>
              <a:rPr lang="en-US" sz="1000" b="0" baseline="0">
                <a:latin typeface="+mj-lt"/>
              </a:rPr>
              <a:t>te (2000-09)</a:t>
            </a:r>
            <a:endParaRPr lang="en-US" sz="1000" b="0">
              <a:latin typeface="+mj-lt"/>
            </a:endParaRPr>
          </a:p>
        </c:rich>
      </c:tx>
      <c:layout>
        <c:manualLayout>
          <c:xMode val="edge"/>
          <c:yMode val="edge"/>
          <c:x val="0.125775004561262"/>
          <c:y val="2.7743311022177228E-2"/>
        </c:manualLayout>
      </c:layout>
      <c:overlay val="1"/>
    </c:title>
    <c:plotArea>
      <c:layout>
        <c:manualLayout>
          <c:layoutTarget val="inner"/>
          <c:xMode val="edge"/>
          <c:yMode val="edge"/>
          <c:x val="8.1725902081230234E-2"/>
          <c:y val="0.12702857744058774"/>
          <c:w val="0.80401643055411964"/>
          <c:h val="0.7027336013265697"/>
        </c:manualLayout>
      </c:layout>
      <c:barChart>
        <c:barDir val="col"/>
        <c:grouping val="clustered"/>
        <c:ser>
          <c:idx val="0"/>
          <c:order val="0"/>
          <c:tx>
            <c:strRef>
              <c:f>Sheet1!$B$1</c:f>
              <c:strCache>
                <c:ptCount val="1"/>
                <c:pt idx="0">
                  <c:v>Taux de Pauvrete au seuil de $1,25/jour (Parite de Pouvoir d'Achat)</c:v>
                </c:pt>
              </c:strCache>
            </c:strRef>
          </c:tx>
          <c:spPr>
            <a:solidFill>
              <a:schemeClr val="tx2">
                <a:lumMod val="60000"/>
                <a:lumOff val="40000"/>
              </a:schemeClr>
            </a:solidFill>
          </c:spPr>
          <c:dLbls>
            <c:numFmt formatCode="#,##0.0" sourceLinked="0"/>
            <c:spPr>
              <a:solidFill>
                <a:schemeClr val="accent2">
                  <a:lumMod val="20000"/>
                  <a:lumOff val="80000"/>
                </a:schemeClr>
              </a:solidFill>
            </c:spPr>
            <c:txPr>
              <a:bodyPr/>
              <a:lstStyle/>
              <a:p>
                <a:pPr>
                  <a:defRPr>
                    <a:latin typeface="+mj-lt"/>
                  </a:defRPr>
                </a:pPr>
                <a:endParaRPr lang="en-US"/>
              </a:p>
            </c:txPr>
            <c:dLblPos val="inEnd"/>
            <c:showVal val="1"/>
          </c:dLbls>
          <c:cat>
            <c:strRef>
              <c:f>Sheet1!$A$2:$A$5</c:f>
              <c:strCache>
                <c:ptCount val="4"/>
                <c:pt idx="0">
                  <c:v>Sénégal</c:v>
                </c:pt>
                <c:pt idx="1">
                  <c:v>Ghana</c:v>
                </c:pt>
                <c:pt idx="2">
                  <c:v>Côte d'Ivoire</c:v>
                </c:pt>
                <c:pt idx="3">
                  <c:v>Mauritanie</c:v>
                </c:pt>
              </c:strCache>
            </c:strRef>
          </c:cat>
          <c:val>
            <c:numRef>
              <c:f>Sheet1!$B$2:$B$5</c:f>
              <c:numCache>
                <c:formatCode>General</c:formatCode>
                <c:ptCount val="4"/>
                <c:pt idx="0">
                  <c:v>33.5</c:v>
                </c:pt>
                <c:pt idx="1">
                  <c:v>29.99</c:v>
                </c:pt>
                <c:pt idx="2">
                  <c:v>23.75</c:v>
                </c:pt>
                <c:pt idx="3">
                  <c:v>21.16</c:v>
                </c:pt>
              </c:numCache>
            </c:numRef>
          </c:val>
        </c:ser>
        <c:axId val="50524544"/>
        <c:axId val="50522368"/>
      </c:barChart>
      <c:lineChart>
        <c:grouping val="standard"/>
        <c:ser>
          <c:idx val="1"/>
          <c:order val="1"/>
          <c:tx>
            <c:strRef>
              <c:f>Sheet1!$C$1</c:f>
              <c:strCache>
                <c:ptCount val="1"/>
                <c:pt idx="0">
                  <c:v>Taux de Croissance Annuel Moyen (2000-2009) (Axe de Gauche)</c:v>
                </c:pt>
              </c:strCache>
            </c:strRef>
          </c:tx>
          <c:spPr>
            <a:ln>
              <a:solidFill>
                <a:schemeClr val="accent2">
                  <a:lumMod val="75000"/>
                </a:schemeClr>
              </a:solidFill>
              <a:prstDash val="sysDash"/>
            </a:ln>
          </c:spPr>
          <c:marker>
            <c:symbol val="triangle"/>
            <c:size val="9"/>
            <c:spPr>
              <a:solidFill>
                <a:schemeClr val="accent6">
                  <a:lumMod val="75000"/>
                </a:schemeClr>
              </a:solidFill>
            </c:spPr>
          </c:marker>
          <c:dLbls>
            <c:numFmt formatCode="#,##0.0" sourceLinked="0"/>
            <c:txPr>
              <a:bodyPr/>
              <a:lstStyle/>
              <a:p>
                <a:pPr>
                  <a:defRPr>
                    <a:latin typeface="+mj-lt"/>
                  </a:defRPr>
                </a:pPr>
                <a:endParaRPr lang="en-US"/>
              </a:p>
            </c:txPr>
            <c:showVal val="1"/>
          </c:dLbls>
          <c:cat>
            <c:strRef>
              <c:f>Sheet1!$A$2:$A$5</c:f>
              <c:strCache>
                <c:ptCount val="4"/>
                <c:pt idx="0">
                  <c:v>Sénégal</c:v>
                </c:pt>
                <c:pt idx="1">
                  <c:v>Ghana</c:v>
                </c:pt>
                <c:pt idx="2">
                  <c:v>Côte d'Ivoire</c:v>
                </c:pt>
                <c:pt idx="3">
                  <c:v>Mauritanie</c:v>
                </c:pt>
              </c:strCache>
            </c:strRef>
          </c:cat>
          <c:val>
            <c:numRef>
              <c:f>Sheet1!$C$2:$C$5</c:f>
              <c:numCache>
                <c:formatCode>General</c:formatCode>
                <c:ptCount val="4"/>
                <c:pt idx="0">
                  <c:v>1.6</c:v>
                </c:pt>
                <c:pt idx="1">
                  <c:v>3.5</c:v>
                </c:pt>
                <c:pt idx="2">
                  <c:v>-1.3</c:v>
                </c:pt>
                <c:pt idx="3">
                  <c:v>2</c:v>
                </c:pt>
              </c:numCache>
            </c:numRef>
          </c:val>
        </c:ser>
        <c:marker val="1"/>
        <c:axId val="50514560"/>
        <c:axId val="50520448"/>
      </c:lineChart>
      <c:catAx>
        <c:axId val="50514560"/>
        <c:scaling>
          <c:orientation val="minMax"/>
        </c:scaling>
        <c:axPos val="b"/>
        <c:tickLblPos val="low"/>
        <c:spPr>
          <a:ln>
            <a:noFill/>
          </a:ln>
        </c:spPr>
        <c:txPr>
          <a:bodyPr/>
          <a:lstStyle/>
          <a:p>
            <a:pPr>
              <a:defRPr>
                <a:latin typeface="+mj-lt"/>
              </a:defRPr>
            </a:pPr>
            <a:endParaRPr lang="en-US"/>
          </a:p>
        </c:txPr>
        <c:crossAx val="50520448"/>
        <c:crosses val="autoZero"/>
        <c:auto val="1"/>
        <c:lblAlgn val="ctr"/>
        <c:lblOffset val="100"/>
      </c:catAx>
      <c:valAx>
        <c:axId val="50520448"/>
        <c:scaling>
          <c:orientation val="minMax"/>
        </c:scaling>
        <c:axPos val="l"/>
        <c:title>
          <c:tx>
            <c:rich>
              <a:bodyPr rot="-5400000" vert="horz"/>
              <a:lstStyle/>
              <a:p>
                <a:pPr>
                  <a:defRPr/>
                </a:pPr>
                <a:r>
                  <a:rPr lang="en-US" sz="800">
                    <a:latin typeface="+mj-lt"/>
                  </a:rPr>
                  <a:t>Taux de Croissance </a:t>
                </a:r>
                <a:r>
                  <a:rPr lang="en-US" sz="800" baseline="0">
                    <a:latin typeface="+mj-lt"/>
                  </a:rPr>
                  <a:t> Annuel Moyen par t</a:t>
                </a:r>
                <a:r>
                  <a:rPr lang="en-US" sz="800" baseline="0">
                    <a:latin typeface="Arial"/>
                    <a:cs typeface="Arial"/>
                  </a:rPr>
                  <a:t>ê</a:t>
                </a:r>
                <a:r>
                  <a:rPr lang="en-US" sz="800" baseline="0">
                    <a:latin typeface="+mj-lt"/>
                  </a:rPr>
                  <a:t>te  (2000-09)</a:t>
                </a:r>
                <a:endParaRPr lang="en-US" sz="800">
                  <a:latin typeface="+mj-lt"/>
                </a:endParaRPr>
              </a:p>
            </c:rich>
          </c:tx>
          <c:layout>
            <c:manualLayout>
              <c:xMode val="edge"/>
              <c:yMode val="edge"/>
              <c:x val="1.315300483157163E-2"/>
              <c:y val="0.20344897103211387"/>
            </c:manualLayout>
          </c:layout>
        </c:title>
        <c:numFmt formatCode="General" sourceLinked="1"/>
        <c:tickLblPos val="nextTo"/>
        <c:txPr>
          <a:bodyPr/>
          <a:lstStyle/>
          <a:p>
            <a:pPr>
              <a:defRPr>
                <a:latin typeface="+mj-lt"/>
              </a:defRPr>
            </a:pPr>
            <a:endParaRPr lang="en-US"/>
          </a:p>
        </c:txPr>
        <c:crossAx val="50514560"/>
        <c:crosses val="autoZero"/>
        <c:crossBetween val="between"/>
      </c:valAx>
      <c:valAx>
        <c:axId val="50522368"/>
        <c:scaling>
          <c:orientation val="minMax"/>
        </c:scaling>
        <c:axPos val="r"/>
        <c:majorGridlines>
          <c:spPr>
            <a:ln>
              <a:solidFill>
                <a:schemeClr val="bg1"/>
              </a:solidFill>
            </a:ln>
          </c:spPr>
        </c:majorGridlines>
        <c:title>
          <c:tx>
            <c:rich>
              <a:bodyPr rot="-5400000" vert="horz"/>
              <a:lstStyle/>
              <a:p>
                <a:pPr>
                  <a:defRPr/>
                </a:pPr>
                <a:r>
                  <a:rPr lang="en-US">
                    <a:latin typeface="+mj-lt"/>
                  </a:rPr>
                  <a:t>Taux de Pauvr</a:t>
                </a:r>
                <a:r>
                  <a:rPr lang="en-US">
                    <a:latin typeface="Calibri"/>
                    <a:cs typeface="Calibri"/>
                  </a:rPr>
                  <a:t>e</a:t>
                </a:r>
                <a:r>
                  <a:rPr lang="en-US">
                    <a:latin typeface="+mj-lt"/>
                  </a:rPr>
                  <a:t>t</a:t>
                </a:r>
                <a:r>
                  <a:rPr lang="en-US">
                    <a:latin typeface="Calibri"/>
                    <a:cs typeface="Calibri"/>
                  </a:rPr>
                  <a:t>é </a:t>
                </a:r>
                <a:r>
                  <a:rPr lang="en-US">
                    <a:latin typeface="+mj-lt"/>
                  </a:rPr>
                  <a:t> au</a:t>
                </a:r>
                <a:r>
                  <a:rPr lang="en-US" baseline="0">
                    <a:latin typeface="+mj-lt"/>
                  </a:rPr>
                  <a:t> seuil de  $1,25/jour (PPA)</a:t>
                </a:r>
                <a:endParaRPr lang="en-US">
                  <a:latin typeface="+mj-lt"/>
                </a:endParaRPr>
              </a:p>
            </c:rich>
          </c:tx>
          <c:layout>
            <c:manualLayout>
              <c:xMode val="edge"/>
              <c:yMode val="edge"/>
              <c:x val="0.9508006640557819"/>
              <c:y val="0.11758426356989601"/>
            </c:manualLayout>
          </c:layout>
        </c:title>
        <c:numFmt formatCode="General" sourceLinked="1"/>
        <c:tickLblPos val="nextTo"/>
        <c:spPr>
          <a:solidFill>
            <a:srgbClr val="F79646">
              <a:lumMod val="60000"/>
              <a:lumOff val="40000"/>
            </a:srgbClr>
          </a:solidFill>
        </c:spPr>
        <c:txPr>
          <a:bodyPr/>
          <a:lstStyle/>
          <a:p>
            <a:pPr>
              <a:defRPr>
                <a:latin typeface="+mj-lt"/>
              </a:defRPr>
            </a:pPr>
            <a:endParaRPr lang="en-US"/>
          </a:p>
        </c:txPr>
        <c:crossAx val="50524544"/>
        <c:crosses val="max"/>
        <c:crossBetween val="between"/>
      </c:valAx>
      <c:catAx>
        <c:axId val="50524544"/>
        <c:scaling>
          <c:orientation val="minMax"/>
        </c:scaling>
        <c:delete val="1"/>
        <c:axPos val="b"/>
        <c:tickLblPos val="none"/>
        <c:crossAx val="50522368"/>
        <c:crosses val="autoZero"/>
        <c:auto val="1"/>
        <c:lblAlgn val="ctr"/>
        <c:lblOffset val="100"/>
      </c:catAx>
      <c:spPr>
        <a:solidFill>
          <a:schemeClr val="accent6">
            <a:lumMod val="60000"/>
            <a:lumOff val="40000"/>
          </a:schemeClr>
        </a:solidFill>
      </c:spPr>
    </c:plotArea>
    <c:plotVisOnly val="1"/>
    <c:dispBlanksAs val="gap"/>
  </c:chart>
  <c:spPr>
    <a:solidFill>
      <a:schemeClr val="accent6">
        <a:lumMod val="60000"/>
        <a:lumOff val="40000"/>
      </a:schemeClr>
    </a:solidFill>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fr-CI" sz="1050" b="1" i="0" u="none" strike="noStrike" baseline="0">
                <a:solidFill>
                  <a:schemeClr val="tx2">
                    <a:lumMod val="75000"/>
                  </a:schemeClr>
                </a:solidFill>
                <a:latin typeface="+mj-lt"/>
              </a:rPr>
              <a:t>Figure 3.</a:t>
            </a:r>
            <a:r>
              <a:rPr lang="fr-CI" sz="1050" b="1" i="0" u="none" strike="noStrike" baseline="0">
                <a:latin typeface="+mj-lt"/>
              </a:rPr>
              <a:t> </a:t>
            </a:r>
            <a:r>
              <a:rPr lang="fr-CI" sz="1050" b="0" i="0" u="none" strike="noStrike" baseline="0">
                <a:latin typeface="+mj-lt"/>
              </a:rPr>
              <a:t>Solde budgétaire de base  en % du PIB nominal</a:t>
            </a:r>
            <a:r>
              <a:rPr lang="fr-CI" sz="1050" b="0" i="0" u="none" strike="noStrike" baseline="30000">
                <a:solidFill>
                  <a:srgbClr val="FF0000"/>
                </a:solidFill>
                <a:latin typeface="+mj-lt"/>
              </a:rPr>
              <a:t>a)</a:t>
            </a:r>
            <a:r>
              <a:rPr lang="fr-CI" sz="1050" b="0" i="0" u="none" strike="noStrike" baseline="0">
                <a:solidFill>
                  <a:sysClr val="windowText" lastClr="000000"/>
                </a:solidFill>
                <a:latin typeface="+mj-lt"/>
              </a:rPr>
              <a:t>,</a:t>
            </a:r>
            <a:r>
              <a:rPr lang="fr-CI" sz="1050" b="0" i="0" u="none" strike="noStrike" baseline="0">
                <a:solidFill>
                  <a:srgbClr val="FF0000"/>
                </a:solidFill>
                <a:latin typeface="+mj-lt"/>
              </a:rPr>
              <a:t> </a:t>
            </a:r>
            <a:r>
              <a:rPr lang="en-US" sz="1050" b="0">
                <a:latin typeface="+mj-lt"/>
              </a:rPr>
              <a:t>2010</a:t>
            </a:r>
          </a:p>
        </c:rich>
      </c:tx>
      <c:layout>
        <c:manualLayout>
          <c:xMode val="edge"/>
          <c:yMode val="edge"/>
          <c:x val="0.1263772236803733"/>
          <c:y val="1.9880715705765457E-2"/>
        </c:manualLayout>
      </c:layout>
    </c:title>
    <c:plotArea>
      <c:layout>
        <c:manualLayout>
          <c:layoutTarget val="inner"/>
          <c:xMode val="edge"/>
          <c:yMode val="edge"/>
          <c:x val="6.4218538546520293E-2"/>
          <c:y val="0.11430556803229744"/>
          <c:w val="0.91032618648093411"/>
          <c:h val="0.65520766449258316"/>
        </c:manualLayout>
      </c:layout>
      <c:barChart>
        <c:barDir val="col"/>
        <c:grouping val="clustered"/>
        <c:ser>
          <c:idx val="0"/>
          <c:order val="0"/>
          <c:tx>
            <c:strRef>
              <c:f>Sheet1!$B$1</c:f>
              <c:strCache>
                <c:ptCount val="1"/>
                <c:pt idx="0">
                  <c:v>2010</c:v>
                </c:pt>
              </c:strCache>
            </c:strRef>
          </c:tx>
          <c:spPr>
            <a:solidFill>
              <a:srgbClr val="FF6699"/>
            </a:solidFill>
          </c:spPr>
          <c:dLbls>
            <c:txPr>
              <a:bodyPr/>
              <a:lstStyle/>
              <a:p>
                <a:pPr>
                  <a:defRPr sz="800" b="1">
                    <a:latin typeface="+mj-lt"/>
                  </a:defRPr>
                </a:pPr>
                <a:endParaRPr lang="en-US"/>
              </a:p>
            </c:txPr>
            <c:dLblPos val="outEnd"/>
            <c:showVal val="1"/>
          </c:dLbls>
          <c:cat>
            <c:strRef>
              <c:f>Sheet1!$A$2:$A$10</c:f>
              <c:strCache>
                <c:ptCount val="9"/>
                <c:pt idx="0">
                  <c:v>Mali</c:v>
                </c:pt>
                <c:pt idx="1">
                  <c:v>Togo</c:v>
                </c:pt>
                <c:pt idx="2">
                  <c:v>Benin</c:v>
                </c:pt>
                <c:pt idx="3">
                  <c:v>Guinée Bissau</c:v>
                </c:pt>
                <c:pt idx="4">
                  <c:v>UEMOA</c:v>
                </c:pt>
                <c:pt idx="5">
                  <c:v>Côte d'Ivoire</c:v>
                </c:pt>
                <c:pt idx="6">
                  <c:v>Niger</c:v>
                </c:pt>
                <c:pt idx="7">
                  <c:v>Burkina Faso</c:v>
                </c:pt>
                <c:pt idx="8">
                  <c:v>Sénégal</c:v>
                </c:pt>
              </c:strCache>
            </c:strRef>
          </c:cat>
          <c:val>
            <c:numRef>
              <c:f>Sheet1!$B$2:$B$10</c:f>
              <c:numCache>
                <c:formatCode>#,##0.0</c:formatCode>
                <c:ptCount val="9"/>
                <c:pt idx="0">
                  <c:v>3.4318772775507487</c:v>
                </c:pt>
                <c:pt idx="1">
                  <c:v>3.1571269543370266</c:v>
                </c:pt>
                <c:pt idx="2">
                  <c:v>2.0195596182321776</c:v>
                </c:pt>
                <c:pt idx="3">
                  <c:v>1.3610306736676818</c:v>
                </c:pt>
                <c:pt idx="4">
                  <c:v>0.54101519215697669</c:v>
                </c:pt>
                <c:pt idx="5">
                  <c:v>0.21493631190430154</c:v>
                </c:pt>
                <c:pt idx="6">
                  <c:v>0.1881195282541078</c:v>
                </c:pt>
                <c:pt idx="7">
                  <c:v>-0.57953472670411366</c:v>
                </c:pt>
                <c:pt idx="8">
                  <c:v>-1.5222040508240018</c:v>
                </c:pt>
              </c:numCache>
            </c:numRef>
          </c:val>
        </c:ser>
        <c:axId val="49278976"/>
        <c:axId val="49280512"/>
      </c:barChart>
      <c:catAx>
        <c:axId val="49278976"/>
        <c:scaling>
          <c:orientation val="minMax"/>
        </c:scaling>
        <c:axPos val="b"/>
        <c:tickLblPos val="low"/>
        <c:spPr>
          <a:ln>
            <a:noFill/>
          </a:ln>
        </c:spPr>
        <c:txPr>
          <a:bodyPr/>
          <a:lstStyle/>
          <a:p>
            <a:pPr>
              <a:defRPr sz="800" b="0">
                <a:latin typeface="+mj-lt"/>
              </a:defRPr>
            </a:pPr>
            <a:endParaRPr lang="en-US"/>
          </a:p>
        </c:txPr>
        <c:crossAx val="49280512"/>
        <c:crosses val="autoZero"/>
        <c:auto val="1"/>
        <c:lblAlgn val="ctr"/>
        <c:lblOffset val="100"/>
      </c:catAx>
      <c:valAx>
        <c:axId val="49280512"/>
        <c:scaling>
          <c:orientation val="minMax"/>
        </c:scaling>
        <c:axPos val="l"/>
        <c:majorGridlines>
          <c:spPr>
            <a:ln w="19050">
              <a:solidFill>
                <a:schemeClr val="bg1"/>
              </a:solidFill>
            </a:ln>
          </c:spPr>
        </c:majorGridlines>
        <c:numFmt formatCode="#,##0.0" sourceLinked="1"/>
        <c:tickLblPos val="nextTo"/>
        <c:spPr>
          <a:ln>
            <a:noFill/>
          </a:ln>
        </c:spPr>
        <c:txPr>
          <a:bodyPr/>
          <a:lstStyle/>
          <a:p>
            <a:pPr>
              <a:defRPr sz="800" b="0">
                <a:latin typeface="+mj-lt"/>
              </a:defRPr>
            </a:pPr>
            <a:endParaRPr lang="en-US"/>
          </a:p>
        </c:txPr>
        <c:crossAx val="49278976"/>
        <c:crosses val="autoZero"/>
        <c:crossBetween val="between"/>
      </c:valAx>
      <c:spPr>
        <a:solidFill>
          <a:srgbClr val="CCECFF"/>
        </a:solidFill>
        <a:ln>
          <a:noFill/>
        </a:ln>
      </c:spPr>
    </c:plotArea>
    <c:plotVisOnly val="1"/>
  </c:chart>
  <c:spPr>
    <a:solidFill>
      <a:srgbClr val="FFCCCC"/>
    </a:solidFill>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cdr:x>
      <cdr:y>0.90074</cdr:y>
    </cdr:from>
    <cdr:to>
      <cdr:x>0.9274</cdr:x>
      <cdr:y>0.98015</cdr:y>
    </cdr:to>
    <cdr:sp macro="" textlink="">
      <cdr:nvSpPr>
        <cdr:cNvPr id="2" name="TextBox 1"/>
        <cdr:cNvSpPr txBox="1"/>
      </cdr:nvSpPr>
      <cdr:spPr>
        <a:xfrm xmlns:a="http://schemas.openxmlformats.org/drawingml/2006/main">
          <a:off x="0" y="2886324"/>
          <a:ext cx="5343276" cy="2544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latin typeface="+mj-lt"/>
              <a:ea typeface="+mn-ea"/>
              <a:cs typeface="+mn-cs"/>
            </a:rPr>
            <a:t>Source: Banque</a:t>
          </a:r>
          <a:r>
            <a:rPr lang="en-US" sz="800" baseline="0">
              <a:latin typeface="+mj-lt"/>
              <a:ea typeface="+mn-ea"/>
              <a:cs typeface="+mn-cs"/>
            </a:rPr>
            <a:t> Mondiale, Indicateur de D</a:t>
          </a:r>
          <a:r>
            <a:rPr lang="en-US" sz="800" baseline="0">
              <a:latin typeface="Cambria"/>
              <a:ea typeface="+mn-ea"/>
              <a:cs typeface="+mn-cs"/>
            </a:rPr>
            <a:t>é</a:t>
          </a:r>
          <a:r>
            <a:rPr lang="en-US" sz="800" baseline="0">
              <a:latin typeface="+mj-lt"/>
              <a:ea typeface="+mn-ea"/>
              <a:cs typeface="+mn-cs"/>
            </a:rPr>
            <a:t>veloppement Africain, 2011</a:t>
          </a:r>
          <a:endParaRPr lang="en-US" sz="800">
            <a:latin typeface="+mj-lt"/>
            <a:ea typeface="+mn-ea"/>
            <a:cs typeface="+mn-cs"/>
          </a:endParaRPr>
        </a:p>
      </cdr:txBody>
    </cdr:sp>
  </cdr:relSizeAnchor>
  <cdr:relSizeAnchor xmlns:cdr="http://schemas.openxmlformats.org/drawingml/2006/chartDrawing">
    <cdr:from>
      <cdr:x>0.19818</cdr:x>
      <cdr:y>0.27047</cdr:y>
    </cdr:from>
    <cdr:to>
      <cdr:x>0.47972</cdr:x>
      <cdr:y>0.36973</cdr:y>
    </cdr:to>
    <cdr:sp macro="" textlink="">
      <cdr:nvSpPr>
        <cdr:cNvPr id="3" name="TextBox 2"/>
        <cdr:cNvSpPr txBox="1"/>
      </cdr:nvSpPr>
      <cdr:spPr>
        <a:xfrm xmlns:a="http://schemas.openxmlformats.org/drawingml/2006/main">
          <a:off x="1141840" y="866692"/>
          <a:ext cx="1622066" cy="31805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latin typeface="+mj-lt"/>
            </a:rPr>
            <a:t>Afrique Sub-Sahar</a:t>
          </a:r>
          <a:r>
            <a:rPr lang="en-US" sz="1100">
              <a:latin typeface="+mj-lt"/>
              <a:cs typeface="Calibri"/>
            </a:rPr>
            <a:t>ienne</a:t>
          </a:r>
          <a:endParaRPr lang="en-US" sz="1100">
            <a:latin typeface="+mj-lt"/>
          </a:endParaRPr>
        </a:p>
      </cdr:txBody>
    </cdr:sp>
  </cdr:relSizeAnchor>
  <cdr:relSizeAnchor xmlns:cdr="http://schemas.openxmlformats.org/drawingml/2006/chartDrawing">
    <cdr:from>
      <cdr:x>0.40243</cdr:x>
      <cdr:y>0.60546</cdr:y>
    </cdr:from>
    <cdr:to>
      <cdr:x>0.6398</cdr:x>
      <cdr:y>0.70471</cdr:y>
    </cdr:to>
    <cdr:sp macro="" textlink="">
      <cdr:nvSpPr>
        <cdr:cNvPr id="4" name="TextBox 3"/>
        <cdr:cNvSpPr txBox="1"/>
      </cdr:nvSpPr>
      <cdr:spPr>
        <a:xfrm xmlns:a="http://schemas.openxmlformats.org/drawingml/2006/main">
          <a:off x="2318633" y="1940118"/>
          <a:ext cx="1367625" cy="31805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latin typeface="+mj-lt"/>
            </a:rPr>
            <a:t>S</a:t>
          </a:r>
          <a:r>
            <a:rPr lang="en-US" sz="1100">
              <a:latin typeface="+mj-lt"/>
              <a:cs typeface="Calibri"/>
            </a:rPr>
            <a:t>énégal</a:t>
          </a:r>
          <a:endParaRPr lang="en-US" sz="1100">
            <a:latin typeface="+mj-lt"/>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0.91613</cdr:y>
    </cdr:from>
    <cdr:to>
      <cdr:x>0.74486</cdr:x>
      <cdr:y>0.98495</cdr:y>
    </cdr:to>
    <cdr:sp macro="" textlink="">
      <cdr:nvSpPr>
        <cdr:cNvPr id="2" name="TextBox 1"/>
        <cdr:cNvSpPr txBox="1"/>
      </cdr:nvSpPr>
      <cdr:spPr>
        <a:xfrm xmlns:a="http://schemas.openxmlformats.org/drawingml/2006/main">
          <a:off x="0" y="3387256"/>
          <a:ext cx="4317558" cy="2544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latin typeface="+mj-lt"/>
            </a:rPr>
            <a:t>Source: Banque</a:t>
          </a:r>
          <a:r>
            <a:rPr lang="en-US" sz="800" baseline="0">
              <a:latin typeface="+mj-lt"/>
            </a:rPr>
            <a:t> Mondiale, Indicateur de D</a:t>
          </a:r>
          <a:r>
            <a:rPr lang="en-US" sz="800" baseline="0">
              <a:latin typeface="Cambria"/>
            </a:rPr>
            <a:t>é</a:t>
          </a:r>
          <a:r>
            <a:rPr lang="en-US" sz="800" baseline="0">
              <a:latin typeface="+mj-lt"/>
            </a:rPr>
            <a:t>veloppement Africain, 2011</a:t>
          </a:r>
          <a:endParaRPr lang="en-US" sz="800">
            <a:latin typeface="+mj-lt"/>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0.89184</cdr:y>
    </cdr:from>
    <cdr:to>
      <cdr:x>0.99074</cdr:x>
      <cdr:y>0.99963</cdr:y>
    </cdr:to>
    <cdr:sp macro="" textlink="">
      <cdr:nvSpPr>
        <cdr:cNvPr id="2" name="TextBox 1"/>
        <cdr:cNvSpPr txBox="1"/>
      </cdr:nvSpPr>
      <cdr:spPr>
        <a:xfrm xmlns:a="http://schemas.openxmlformats.org/drawingml/2006/main">
          <a:off x="0" y="2984500"/>
          <a:ext cx="5435600" cy="36072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800">
              <a:latin typeface="+mj-lt"/>
            </a:rPr>
            <a:t>Source: UEMOA, Rapport Semestriel</a:t>
          </a:r>
          <a:r>
            <a:rPr lang="en-US" sz="800" baseline="0">
              <a:latin typeface="+mj-lt"/>
            </a:rPr>
            <a:t> d'</a:t>
          </a:r>
          <a:r>
            <a:rPr lang="en-US" sz="800" baseline="0">
              <a:latin typeface="Cambria"/>
            </a:rPr>
            <a:t>é</a:t>
          </a:r>
          <a:r>
            <a:rPr lang="en-US" sz="800" baseline="0">
              <a:latin typeface="+mj-lt"/>
            </a:rPr>
            <a:t>xecution de la surveillance multilaterale, </a:t>
          </a:r>
          <a:r>
            <a:rPr lang="en-US" sz="800" baseline="0">
              <a:latin typeface="Cambria"/>
            </a:rPr>
            <a:t>é</a:t>
          </a:r>
          <a:r>
            <a:rPr lang="en-US" sz="800" baseline="0">
              <a:latin typeface="+mj-lt"/>
            </a:rPr>
            <a:t>dition Juin 2011</a:t>
          </a:r>
        </a:p>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800" b="1" baseline="30000">
              <a:solidFill>
                <a:srgbClr val="FF0000"/>
              </a:solidFill>
              <a:latin typeface="+mj-lt"/>
            </a:rPr>
            <a:t>a)</a:t>
          </a:r>
          <a:r>
            <a:rPr lang="en-US" sz="800" b="1" baseline="0">
              <a:solidFill>
                <a:srgbClr val="FF0000"/>
              </a:solidFill>
              <a:latin typeface="+mj-lt"/>
            </a:rPr>
            <a:t> </a:t>
          </a:r>
          <a:r>
            <a:rPr lang="en-US" sz="800" b="0" baseline="0">
              <a:solidFill>
                <a:sysClr val="windowText" lastClr="000000"/>
              </a:solidFill>
              <a:latin typeface="+mj-lt"/>
            </a:rPr>
            <a:t>Norme au sein de l'UEMOA &gt;=0</a:t>
          </a:r>
          <a:endParaRPr lang="en-US" sz="800" b="0" baseline="0">
            <a:solidFill>
              <a:srgbClr val="FF0000"/>
            </a:solidFill>
            <a:latin typeface="+mj-lt"/>
          </a:endParaRPr>
        </a:p>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endParaRPr lang="en-US" sz="1000">
            <a:latin typeface="+mj-lt"/>
            <a:ea typeface="+mn-ea"/>
            <a:cs typeface="+mn-cs"/>
          </a:endParaRPr>
        </a:p>
        <a:p xmlns:a="http://schemas.openxmlformats.org/drawingml/2006/main">
          <a:r>
            <a:rPr lang="en-US" sz="1000">
              <a:latin typeface="+mj-lt"/>
            </a:rPr>
            <a:t>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8748D-3611-4F22-84B5-309BC60D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1930</Words>
  <Characters>11002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wb227138</dc:creator>
  <cp:lastModifiedBy>wb227138</cp:lastModifiedBy>
  <cp:revision>5</cp:revision>
  <dcterms:created xsi:type="dcterms:W3CDTF">2011-10-12T12:11:00Z</dcterms:created>
  <dcterms:modified xsi:type="dcterms:W3CDTF">2011-10-12T12:16:00Z</dcterms:modified>
</cp:coreProperties>
</file>